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FD4E3" w14:textId="77777777" w:rsidR="00865C3E" w:rsidRDefault="00865C3E">
      <w:bookmarkStart w:id="0" w:name="_GoBack"/>
      <w:bookmarkEnd w:id="0"/>
    </w:p>
    <w:p w14:paraId="2266D62B" w14:textId="77777777" w:rsidR="00865C3E" w:rsidRDefault="00865C3E"/>
    <w:p w14:paraId="5E32F0F5" w14:textId="77777777" w:rsidR="00865C3E" w:rsidRDefault="00865C3E"/>
    <w:p w14:paraId="6352CFD4" w14:textId="77777777" w:rsidR="00865C3E" w:rsidRDefault="00865C3E"/>
    <w:p w14:paraId="7AFBD646" w14:textId="77777777" w:rsidR="00865C3E" w:rsidRDefault="00865C3E"/>
    <w:p w14:paraId="2A58289A" w14:textId="77777777" w:rsidR="00865C3E" w:rsidRDefault="00865C3E"/>
    <w:p w14:paraId="131A6873" w14:textId="77777777" w:rsidR="00865C3E" w:rsidRDefault="00865C3E"/>
    <w:p w14:paraId="7725C8B5" w14:textId="77777777" w:rsidR="00865C3E" w:rsidRDefault="00865C3E"/>
    <w:p w14:paraId="7F91CC26" w14:textId="77777777" w:rsidR="00865C3E" w:rsidRDefault="00865C3E"/>
    <w:p w14:paraId="1751CC83" w14:textId="77777777" w:rsidR="00865C3E" w:rsidRDefault="00865C3E"/>
    <w:p w14:paraId="381F7710" w14:textId="77777777" w:rsidR="00865C3E" w:rsidRDefault="00865C3E"/>
    <w:p w14:paraId="2A276081" w14:textId="77777777" w:rsidR="00865C3E" w:rsidRDefault="00865C3E"/>
    <w:p w14:paraId="43ADF77A" w14:textId="77777777" w:rsidR="00865C3E" w:rsidRDefault="00865C3E"/>
    <w:p w14:paraId="03FBC928" w14:textId="77777777" w:rsidR="00865C3E" w:rsidRDefault="00865C3E"/>
    <w:p w14:paraId="6D60C218" w14:textId="77777777" w:rsidR="00865C3E" w:rsidRDefault="00865C3E"/>
    <w:p w14:paraId="34030642" w14:textId="77777777" w:rsidR="00865C3E" w:rsidRDefault="00865C3E"/>
    <w:p w14:paraId="7313EF69" w14:textId="77777777" w:rsidR="00865C3E" w:rsidRDefault="00405387">
      <w:pPr>
        <w:jc w:val="center"/>
        <w:rPr>
          <w:b/>
          <w:bCs/>
          <w:caps/>
          <w:sz w:val="32"/>
          <w:szCs w:val="32"/>
        </w:rPr>
      </w:pPr>
      <w:r>
        <w:rPr>
          <w:b/>
          <w:bCs/>
          <w:caps/>
          <w:sz w:val="32"/>
          <w:szCs w:val="32"/>
        </w:rPr>
        <w:t>Protokol</w:t>
      </w:r>
      <w:r w:rsidR="00865C3E">
        <w:rPr>
          <w:b/>
          <w:bCs/>
          <w:caps/>
          <w:sz w:val="32"/>
          <w:szCs w:val="32"/>
        </w:rPr>
        <w:t xml:space="preserve"> posouzen</w:t>
      </w:r>
      <w:r w:rsidR="003C76B9">
        <w:rPr>
          <w:b/>
          <w:bCs/>
          <w:caps/>
          <w:sz w:val="32"/>
          <w:szCs w:val="32"/>
        </w:rPr>
        <w:t>Í</w:t>
      </w:r>
      <w:r w:rsidR="00865C3E">
        <w:rPr>
          <w:b/>
          <w:bCs/>
          <w:caps/>
          <w:sz w:val="32"/>
          <w:szCs w:val="32"/>
        </w:rPr>
        <w:t xml:space="preserve"> vlivů na veřejné zdraví</w:t>
      </w:r>
    </w:p>
    <w:p w14:paraId="5ED47C63" w14:textId="77777777" w:rsidR="00865C3E" w:rsidRDefault="00865C3E"/>
    <w:p w14:paraId="18B4DBE0" w14:textId="77777777" w:rsidR="00865C3E" w:rsidRDefault="00865C3E">
      <w:pPr>
        <w:pStyle w:val="Nadpis3"/>
      </w:pPr>
      <w:r>
        <w:t>HODNOCENÍ  ZDRAVOTNÍCH  RIZIK</w:t>
      </w:r>
    </w:p>
    <w:p w14:paraId="6D63E827" w14:textId="77777777" w:rsidR="00865C3E" w:rsidRDefault="00865C3E"/>
    <w:p w14:paraId="7ACDED7B" w14:textId="77777777" w:rsidR="00865C3E" w:rsidRDefault="00865C3E"/>
    <w:p w14:paraId="491C75AE" w14:textId="77777777" w:rsidR="00865C3E" w:rsidRDefault="00865C3E"/>
    <w:p w14:paraId="63DB6090" w14:textId="77777777" w:rsidR="00865C3E" w:rsidRDefault="00865C3E"/>
    <w:p w14:paraId="721451AC" w14:textId="77777777" w:rsidR="00865C3E" w:rsidRDefault="00865C3E"/>
    <w:p w14:paraId="108E19C4" w14:textId="77777777" w:rsidR="00865C3E" w:rsidRDefault="00865C3E"/>
    <w:p w14:paraId="367F256F" w14:textId="77777777" w:rsidR="00865C3E" w:rsidRDefault="00865C3E"/>
    <w:p w14:paraId="46CBD3C3" w14:textId="54E45C29" w:rsidR="00865C3E" w:rsidRDefault="00865C3E" w:rsidP="00D30605">
      <w:pPr>
        <w:widowControl w:val="0"/>
        <w:jc w:val="both"/>
        <w:rPr>
          <w:b/>
          <w:bCs/>
          <w:caps/>
        </w:rPr>
      </w:pPr>
      <w:r>
        <w:rPr>
          <w:b/>
          <w:bCs/>
          <w:szCs w:val="20"/>
        </w:rPr>
        <w:t>Zadání:</w:t>
      </w:r>
      <w:r w:rsidR="00056208">
        <w:rPr>
          <w:b/>
          <w:bCs/>
          <w:szCs w:val="20"/>
        </w:rPr>
        <w:tab/>
      </w:r>
      <w:r w:rsidR="00CB0245">
        <w:rPr>
          <w:b/>
          <w:bCs/>
          <w:szCs w:val="20"/>
        </w:rPr>
        <w:tab/>
      </w:r>
      <w:r>
        <w:rPr>
          <w:b/>
          <w:bCs/>
          <w:caps/>
        </w:rPr>
        <w:t>Hodnocení  zdravotníh</w:t>
      </w:r>
      <w:r w:rsidR="00A91C5A">
        <w:rPr>
          <w:b/>
          <w:bCs/>
          <w:caps/>
        </w:rPr>
        <w:t>o</w:t>
      </w:r>
      <w:r>
        <w:rPr>
          <w:b/>
          <w:bCs/>
          <w:caps/>
        </w:rPr>
        <w:t xml:space="preserve">  rizik</w:t>
      </w:r>
      <w:r w:rsidR="00A91C5A">
        <w:rPr>
          <w:b/>
          <w:bCs/>
          <w:caps/>
        </w:rPr>
        <w:t>a hluku</w:t>
      </w:r>
    </w:p>
    <w:p w14:paraId="37218BEB" w14:textId="371E3AC2" w:rsidR="00865C3E" w:rsidRPr="00DC62BE" w:rsidRDefault="00CD6BE7" w:rsidP="00CD6BE7">
      <w:pPr>
        <w:widowControl w:val="0"/>
        <w:spacing w:before="60"/>
        <w:ind w:left="2124" w:firstLine="3"/>
        <w:jc w:val="both"/>
        <w:rPr>
          <w:b/>
          <w:szCs w:val="20"/>
        </w:rPr>
      </w:pPr>
      <w:r w:rsidRPr="00CD6BE7">
        <w:rPr>
          <w:rFonts w:ascii="Times New Roman tučné" w:hAnsi="Times New Roman tučné"/>
          <w:b/>
        </w:rPr>
        <w:t>Společnost Saint-Gobain Construction Products CZ a.s., Divize ISOVER</w:t>
      </w:r>
      <w:r w:rsidR="00E5494F" w:rsidRPr="00DC62BE">
        <w:rPr>
          <w:b/>
          <w:szCs w:val="20"/>
        </w:rPr>
        <w:tab/>
      </w:r>
    </w:p>
    <w:p w14:paraId="1D0178AF" w14:textId="77777777" w:rsidR="00E66AE9" w:rsidRDefault="00E66AE9" w:rsidP="00E66AE9">
      <w:pPr>
        <w:widowControl w:val="0"/>
        <w:jc w:val="both"/>
        <w:rPr>
          <w:b/>
          <w:bCs/>
          <w:szCs w:val="20"/>
        </w:rPr>
      </w:pPr>
    </w:p>
    <w:p w14:paraId="6694C7EC" w14:textId="77777777" w:rsidR="00DC62BE" w:rsidRDefault="00DC62BE" w:rsidP="00DC62BE">
      <w:pPr>
        <w:autoSpaceDE w:val="0"/>
        <w:autoSpaceDN w:val="0"/>
        <w:adjustRightInd w:val="0"/>
        <w:ind w:left="2124" w:hanging="2124"/>
        <w:rPr>
          <w:b/>
          <w:bCs/>
          <w:szCs w:val="20"/>
        </w:rPr>
      </w:pPr>
    </w:p>
    <w:p w14:paraId="00189AEC" w14:textId="5B548841" w:rsidR="00EA2B48" w:rsidRDefault="00865C3E" w:rsidP="00441C24">
      <w:pPr>
        <w:ind w:left="2124" w:hanging="2124"/>
        <w:rPr>
          <w:b/>
          <w:bCs/>
          <w:szCs w:val="20"/>
        </w:rPr>
      </w:pPr>
      <w:r>
        <w:rPr>
          <w:b/>
          <w:bCs/>
          <w:szCs w:val="20"/>
        </w:rPr>
        <w:t xml:space="preserve">Zadavatel: </w:t>
      </w:r>
      <w:r>
        <w:rPr>
          <w:b/>
          <w:bCs/>
          <w:szCs w:val="20"/>
        </w:rPr>
        <w:tab/>
      </w:r>
      <w:r w:rsidR="00441C24" w:rsidRPr="001E5226">
        <w:t>Společnost Saint-Gobain Construction Products CZ a.s., Divize ISOVER (dále též SG Častolovice)</w:t>
      </w:r>
      <w:r w:rsidR="00A91C5A" w:rsidRPr="00A91C5A">
        <w:rPr>
          <w:b/>
        </w:rPr>
        <w:br/>
      </w:r>
    </w:p>
    <w:p w14:paraId="4AFC0E73" w14:textId="77777777" w:rsidR="00186CE7" w:rsidRDefault="00186CE7" w:rsidP="009D320D">
      <w:pPr>
        <w:tabs>
          <w:tab w:val="left" w:pos="1946"/>
          <w:tab w:val="left" w:pos="2244"/>
        </w:tabs>
        <w:ind w:left="2160" w:hanging="2160"/>
        <w:rPr>
          <w:szCs w:val="20"/>
        </w:rPr>
      </w:pPr>
    </w:p>
    <w:p w14:paraId="42C32CE4" w14:textId="03444102" w:rsidR="00865C3E" w:rsidRDefault="00865C3E">
      <w:pPr>
        <w:widowControl w:val="0"/>
        <w:ind w:left="2124" w:hanging="2124"/>
        <w:jc w:val="both"/>
        <w:rPr>
          <w:b/>
        </w:rPr>
      </w:pPr>
      <w:r>
        <w:rPr>
          <w:b/>
        </w:rPr>
        <w:t>Vypracoval:</w:t>
      </w:r>
      <w:r>
        <w:rPr>
          <w:b/>
        </w:rPr>
        <w:tab/>
        <w:t>Ing. Jitka Růžičková</w:t>
      </w:r>
    </w:p>
    <w:p w14:paraId="549E0982" w14:textId="7700DEE7" w:rsidR="00E66AE9" w:rsidRDefault="00E66AE9" w:rsidP="00E66AE9">
      <w:pPr>
        <w:widowControl w:val="0"/>
        <w:ind w:left="2160"/>
        <w:jc w:val="both"/>
        <w:rPr>
          <w:sz w:val="22"/>
          <w:szCs w:val="22"/>
        </w:rPr>
      </w:pPr>
      <w:r>
        <w:rPr>
          <w:sz w:val="22"/>
          <w:szCs w:val="22"/>
        </w:rPr>
        <w:t xml:space="preserve">Držitelka osvědčení odborné způsobilosti pro oblast posuzování vlivů na veřejné zdraví, pořadové číslo osvědčení </w:t>
      </w:r>
      <w:r w:rsidR="00457430">
        <w:rPr>
          <w:sz w:val="22"/>
          <w:szCs w:val="22"/>
        </w:rPr>
        <w:t>5/2014</w:t>
      </w:r>
    </w:p>
    <w:p w14:paraId="4DDFA288" w14:textId="77777777" w:rsidR="00865C3E" w:rsidRDefault="00865C3E">
      <w:pPr>
        <w:widowControl w:val="0"/>
        <w:ind w:left="2160"/>
        <w:jc w:val="both"/>
        <w:rPr>
          <w:sz w:val="22"/>
          <w:szCs w:val="22"/>
        </w:rPr>
      </w:pPr>
      <w:r>
        <w:rPr>
          <w:sz w:val="22"/>
          <w:szCs w:val="22"/>
        </w:rPr>
        <w:t>Krokova 31</w:t>
      </w:r>
    </w:p>
    <w:p w14:paraId="176B213D" w14:textId="77777777" w:rsidR="00865C3E" w:rsidRDefault="00865C3E">
      <w:pPr>
        <w:widowControl w:val="0"/>
        <w:ind w:left="2160"/>
        <w:jc w:val="both"/>
        <w:rPr>
          <w:sz w:val="22"/>
          <w:szCs w:val="22"/>
        </w:rPr>
      </w:pPr>
      <w:r>
        <w:rPr>
          <w:sz w:val="22"/>
          <w:szCs w:val="22"/>
        </w:rPr>
        <w:t>360 20 Karlovy Vary</w:t>
      </w:r>
    </w:p>
    <w:p w14:paraId="03E6CEDF" w14:textId="77777777" w:rsidR="00865C3E" w:rsidRDefault="00865C3E">
      <w:pPr>
        <w:widowControl w:val="0"/>
        <w:jc w:val="both"/>
        <w:rPr>
          <w:szCs w:val="20"/>
        </w:rPr>
      </w:pPr>
    </w:p>
    <w:p w14:paraId="489AECD8" w14:textId="77777777" w:rsidR="00186CE7" w:rsidRDefault="00186CE7">
      <w:pPr>
        <w:widowControl w:val="0"/>
        <w:jc w:val="both"/>
        <w:rPr>
          <w:szCs w:val="20"/>
        </w:rPr>
      </w:pPr>
    </w:p>
    <w:p w14:paraId="7A7CFE45" w14:textId="77777777" w:rsidR="00865C3E" w:rsidRDefault="00865C3E">
      <w:pPr>
        <w:widowControl w:val="0"/>
        <w:jc w:val="both"/>
        <w:rPr>
          <w:b/>
          <w:szCs w:val="20"/>
        </w:rPr>
      </w:pPr>
    </w:p>
    <w:p w14:paraId="28339B2C" w14:textId="022D27A2" w:rsidR="00865C3E" w:rsidRDefault="00865C3E">
      <w:pPr>
        <w:widowControl w:val="0"/>
        <w:jc w:val="both"/>
        <w:rPr>
          <w:b/>
        </w:rPr>
      </w:pPr>
      <w:r>
        <w:rPr>
          <w:b/>
        </w:rPr>
        <w:t>Datum zpracování:</w:t>
      </w:r>
      <w:r>
        <w:rPr>
          <w:b/>
        </w:rPr>
        <w:tab/>
      </w:r>
      <w:r w:rsidR="00441C24">
        <w:rPr>
          <w:b/>
        </w:rPr>
        <w:t>květen</w:t>
      </w:r>
      <w:r w:rsidR="00DC62BE">
        <w:rPr>
          <w:b/>
        </w:rPr>
        <w:t xml:space="preserve"> 2016</w:t>
      </w:r>
    </w:p>
    <w:p w14:paraId="13BEDF32" w14:textId="77777777" w:rsidR="00CE3A3E" w:rsidRDefault="00CE3A3E">
      <w:pPr>
        <w:widowControl w:val="0"/>
        <w:jc w:val="both"/>
        <w:rPr>
          <w:b/>
        </w:rPr>
      </w:pPr>
    </w:p>
    <w:p w14:paraId="5ED4B56F" w14:textId="77777777" w:rsidR="00AF69A6" w:rsidRDefault="00AF69A6">
      <w:pPr>
        <w:widowControl w:val="0"/>
        <w:jc w:val="both"/>
        <w:rPr>
          <w:b/>
        </w:rPr>
      </w:pPr>
    </w:p>
    <w:p w14:paraId="214143FC" w14:textId="77777777" w:rsidR="00AF69A6" w:rsidRDefault="00AF69A6">
      <w:pPr>
        <w:widowControl w:val="0"/>
        <w:jc w:val="both"/>
        <w:rPr>
          <w:b/>
        </w:rPr>
      </w:pPr>
    </w:p>
    <w:p w14:paraId="083A26DC" w14:textId="77777777" w:rsidR="00A91C5A" w:rsidRDefault="00A91C5A">
      <w:pPr>
        <w:widowControl w:val="0"/>
        <w:jc w:val="both"/>
        <w:rPr>
          <w:b/>
        </w:rPr>
      </w:pPr>
    </w:p>
    <w:p w14:paraId="5FD9DA29" w14:textId="77777777" w:rsidR="00425A13" w:rsidRDefault="00425A13">
      <w:pPr>
        <w:widowControl w:val="0"/>
        <w:jc w:val="both"/>
        <w:rPr>
          <w:b/>
        </w:rPr>
      </w:pPr>
    </w:p>
    <w:p w14:paraId="439338E7" w14:textId="77777777" w:rsidR="00865C3E" w:rsidRDefault="00865C3E" w:rsidP="008A7B08">
      <w:pPr>
        <w:numPr>
          <w:ilvl w:val="0"/>
          <w:numId w:val="10"/>
        </w:numPr>
        <w:shd w:val="clear" w:color="auto" w:fill="C0C0C0"/>
        <w:ind w:hanging="720"/>
        <w:rPr>
          <w:b/>
          <w:bCs/>
          <w:sz w:val="28"/>
        </w:rPr>
      </w:pPr>
      <w:r>
        <w:rPr>
          <w:b/>
          <w:bCs/>
          <w:sz w:val="28"/>
        </w:rPr>
        <w:t>Zadání</w:t>
      </w:r>
    </w:p>
    <w:p w14:paraId="01FABFE0" w14:textId="77777777" w:rsidR="00865C3E" w:rsidRDefault="00865C3E">
      <w:pPr>
        <w:pStyle w:val="Zkladntextodsazen3"/>
      </w:pPr>
      <w:r>
        <w:t xml:space="preserve">    </w:t>
      </w:r>
      <w:r>
        <w:tab/>
      </w:r>
      <w:r>
        <w:tab/>
      </w:r>
    </w:p>
    <w:p w14:paraId="0B9FB292" w14:textId="3BD0F137" w:rsidR="00865C3E" w:rsidRDefault="008349B2" w:rsidP="008349B2">
      <w:pPr>
        <w:autoSpaceDE w:val="0"/>
        <w:autoSpaceDN w:val="0"/>
        <w:adjustRightInd w:val="0"/>
        <w:jc w:val="both"/>
      </w:pPr>
      <w:r w:rsidRPr="00424897">
        <w:t>Na základě objednávky</w:t>
      </w:r>
      <w:r w:rsidRPr="00424897">
        <w:rPr>
          <w:bCs/>
        </w:rPr>
        <w:t xml:space="preserve"> </w:t>
      </w:r>
      <w:r w:rsidR="00A91C5A">
        <w:rPr>
          <w:bCs/>
        </w:rPr>
        <w:t xml:space="preserve">firmy </w:t>
      </w:r>
      <w:r w:rsidR="00CD6BE7" w:rsidRPr="001E5226">
        <w:t>Společnost Saint-Gobain Construction Products CZ a.s., Divize I</w:t>
      </w:r>
      <w:r w:rsidR="0084248A">
        <w:t>sover</w:t>
      </w:r>
      <w:r w:rsidR="00CD6BE7" w:rsidRPr="001E5226">
        <w:t xml:space="preserve"> (dále též SG Častolovice)</w:t>
      </w:r>
      <w:r w:rsidR="00CD6BE7">
        <w:t xml:space="preserve"> </w:t>
      </w:r>
      <w:r w:rsidRPr="00424897">
        <w:t>je zpracován</w:t>
      </w:r>
      <w:r>
        <w:t>o</w:t>
      </w:r>
      <w:r w:rsidRPr="00424897">
        <w:t xml:space="preserve"> posouzení vlivů na veřejné zdraví</w:t>
      </w:r>
      <w:r>
        <w:t xml:space="preserve"> resp. hodnocení zdravotních rizik </w:t>
      </w:r>
      <w:r w:rsidR="00EB1AE3">
        <w:t>hluku</w:t>
      </w:r>
      <w:r w:rsidRPr="00424897">
        <w:t xml:space="preserve">. </w:t>
      </w:r>
    </w:p>
    <w:p w14:paraId="03359B81" w14:textId="77777777" w:rsidR="009736D2" w:rsidRPr="008349B2" w:rsidRDefault="009736D2" w:rsidP="008349B2">
      <w:pPr>
        <w:autoSpaceDE w:val="0"/>
        <w:autoSpaceDN w:val="0"/>
        <w:adjustRightInd w:val="0"/>
        <w:jc w:val="both"/>
        <w:rPr>
          <w:sz w:val="22"/>
          <w:szCs w:val="22"/>
        </w:rPr>
      </w:pPr>
    </w:p>
    <w:p w14:paraId="01AA5A7E" w14:textId="050A7C8C" w:rsidR="00E02152" w:rsidRPr="00E02152" w:rsidRDefault="00E02152" w:rsidP="00E02152">
      <w:pPr>
        <w:autoSpaceDE w:val="0"/>
        <w:autoSpaceDN w:val="0"/>
        <w:adjustRightInd w:val="0"/>
        <w:spacing w:before="120"/>
        <w:jc w:val="both"/>
      </w:pPr>
      <w:r w:rsidRPr="00E02152">
        <w:rPr>
          <w:rFonts w:eastAsia="TimesNewRomanPSMT"/>
        </w:rPr>
        <w:t>Základní metodické postupy odhadu zdravotních rizik</w:t>
      </w:r>
      <w:r w:rsidR="009736D2">
        <w:rPr>
          <w:rFonts w:eastAsia="TimesNewRomanPSMT"/>
        </w:rPr>
        <w:t>, podle kterých se zdravotní rizika zpracovávají,</w:t>
      </w:r>
      <w:r w:rsidRPr="00E02152">
        <w:rPr>
          <w:rFonts w:eastAsia="TimesNewRomanPSMT"/>
        </w:rPr>
        <w:t xml:space="preserve"> byly </w:t>
      </w:r>
      <w:r w:rsidR="009736D2">
        <w:rPr>
          <w:rFonts w:eastAsia="TimesNewRomanPSMT"/>
        </w:rPr>
        <w:t>vy</w:t>
      </w:r>
      <w:r w:rsidRPr="00E02152">
        <w:rPr>
          <w:rFonts w:eastAsia="TimesNewRomanPSMT"/>
        </w:rPr>
        <w:t>pracovány zejména Americkou</w:t>
      </w:r>
      <w:r>
        <w:rPr>
          <w:rFonts w:eastAsia="TimesNewRomanPSMT"/>
        </w:rPr>
        <w:t xml:space="preserve"> </w:t>
      </w:r>
      <w:r w:rsidRPr="00E02152">
        <w:rPr>
          <w:rFonts w:eastAsia="TimesNewRomanPSMT"/>
        </w:rPr>
        <w:t>agenturou pro ochranu životního prostředí (US EPA) a Světovou zdravotní organizací</w:t>
      </w:r>
      <w:r>
        <w:rPr>
          <w:rFonts w:eastAsia="TimesNewRomanPSMT"/>
        </w:rPr>
        <w:t xml:space="preserve"> </w:t>
      </w:r>
      <w:r w:rsidRPr="00E02152">
        <w:rPr>
          <w:rFonts w:eastAsia="TimesNewRomanPSMT"/>
        </w:rPr>
        <w:t>(WHO). V České republice byly základní metodické podklady pro hodnocení zdravotních</w:t>
      </w:r>
      <w:r>
        <w:rPr>
          <w:rFonts w:eastAsia="TimesNewRomanPSMT"/>
        </w:rPr>
        <w:t xml:space="preserve"> </w:t>
      </w:r>
      <w:r w:rsidRPr="00E02152">
        <w:rPr>
          <w:rFonts w:eastAsia="TimesNewRomanPSMT"/>
        </w:rPr>
        <w:t>rizik vydány Ministerstvem zdravotnictví a Ministerstvem životního prostředí.</w:t>
      </w:r>
      <w:r>
        <w:rPr>
          <w:rFonts w:eastAsia="TimesNewRomanPSMT"/>
        </w:rPr>
        <w:t xml:space="preserve"> </w:t>
      </w:r>
    </w:p>
    <w:p w14:paraId="3A92222D" w14:textId="1A12AD77" w:rsidR="00E02152" w:rsidRDefault="00E02152" w:rsidP="00E02152">
      <w:pPr>
        <w:autoSpaceDE w:val="0"/>
        <w:autoSpaceDN w:val="0"/>
        <w:adjustRightInd w:val="0"/>
        <w:spacing w:before="120"/>
        <w:jc w:val="both"/>
        <w:rPr>
          <w:rFonts w:eastAsia="TimesNewRomanPSMT"/>
        </w:rPr>
      </w:pPr>
      <w:r w:rsidRPr="00E02152">
        <w:rPr>
          <w:rFonts w:eastAsia="TimesNewRomanPSMT"/>
        </w:rPr>
        <w:t>Zdravotní riziko vyjadřuje pravděpodobnost změny zdravotního stavu exponovaných osob.</w:t>
      </w:r>
      <w:r>
        <w:rPr>
          <w:rFonts w:eastAsia="TimesNewRomanPSMT"/>
        </w:rPr>
        <w:t xml:space="preserve"> </w:t>
      </w:r>
      <w:r w:rsidRPr="00E02152">
        <w:rPr>
          <w:rFonts w:eastAsia="TimesNewRomanPSMT"/>
        </w:rPr>
        <w:t>Při hodnocení zdravotních rizik se standardně postupuje ve čtyřech následných krocích</w:t>
      </w:r>
      <w:r>
        <w:rPr>
          <w:rFonts w:eastAsia="TimesNewRomanPSMT"/>
        </w:rPr>
        <w:t>:</w:t>
      </w:r>
    </w:p>
    <w:p w14:paraId="75A323E0" w14:textId="77777777" w:rsidR="00E02152" w:rsidRPr="00E02152" w:rsidRDefault="00E02152" w:rsidP="00E02152">
      <w:pPr>
        <w:autoSpaceDE w:val="0"/>
        <w:autoSpaceDN w:val="0"/>
        <w:adjustRightInd w:val="0"/>
        <w:spacing w:before="120"/>
        <w:jc w:val="both"/>
        <w:rPr>
          <w:rFonts w:eastAsia="TimesNewRomanPSMT"/>
        </w:rPr>
      </w:pPr>
    </w:p>
    <w:p w14:paraId="16F58ABA" w14:textId="4DDA9A73" w:rsidR="00424897" w:rsidRPr="00E86518" w:rsidRDefault="00424897" w:rsidP="008A7B08">
      <w:pPr>
        <w:pStyle w:val="Odstavecseseznamem"/>
        <w:numPr>
          <w:ilvl w:val="0"/>
          <w:numId w:val="13"/>
        </w:numPr>
        <w:autoSpaceDE w:val="0"/>
        <w:autoSpaceDN w:val="0"/>
        <w:adjustRightInd w:val="0"/>
        <w:jc w:val="both"/>
        <w:rPr>
          <w:rFonts w:eastAsia="TimesNewRomanPSMT"/>
        </w:rPr>
      </w:pPr>
      <w:r w:rsidRPr="00E86518">
        <w:rPr>
          <w:bCs/>
        </w:rPr>
        <w:t xml:space="preserve">Identifikace nebezpečnosti </w:t>
      </w:r>
      <w:r w:rsidRPr="00E86518">
        <w:t xml:space="preserve">– </w:t>
      </w:r>
      <w:r w:rsidR="00E02152" w:rsidRPr="00E86518">
        <w:rPr>
          <w:rFonts w:eastAsia="TimesNewRomanPSMT"/>
        </w:rPr>
        <w:t xml:space="preserve">v tomto kroku se zjišťuje, zda je sledovaná látka, faktor nebo komplexní směs schopná vyvolat nežádoucí zdravotní účinek. </w:t>
      </w:r>
    </w:p>
    <w:p w14:paraId="64D7B186" w14:textId="77777777" w:rsidR="00424897" w:rsidRPr="00E86518" w:rsidRDefault="00424897" w:rsidP="002A4644">
      <w:pPr>
        <w:pStyle w:val="Prosttext"/>
        <w:autoSpaceDE w:val="0"/>
        <w:autoSpaceDN w:val="0"/>
        <w:adjustRightInd w:val="0"/>
        <w:ind w:left="714"/>
        <w:jc w:val="both"/>
        <w:rPr>
          <w:rFonts w:ascii="Times New Roman" w:hAnsi="Times New Roman"/>
          <w:sz w:val="24"/>
          <w:szCs w:val="24"/>
        </w:rPr>
      </w:pPr>
    </w:p>
    <w:p w14:paraId="4D007C32" w14:textId="764D50B9" w:rsidR="00E74535" w:rsidRPr="00E86518" w:rsidRDefault="00424897" w:rsidP="008A7B08">
      <w:pPr>
        <w:pStyle w:val="Odstavecseseznamem"/>
        <w:numPr>
          <w:ilvl w:val="0"/>
          <w:numId w:val="13"/>
        </w:numPr>
        <w:autoSpaceDE w:val="0"/>
        <w:autoSpaceDN w:val="0"/>
        <w:adjustRightInd w:val="0"/>
        <w:jc w:val="both"/>
      </w:pPr>
      <w:r w:rsidRPr="00E86518">
        <w:rPr>
          <w:bCs/>
        </w:rPr>
        <w:t>Charakterizace nebezpečnosti</w:t>
      </w:r>
      <w:r w:rsidRPr="00E86518">
        <w:rPr>
          <w:b/>
          <w:bCs/>
        </w:rPr>
        <w:t xml:space="preserve"> </w:t>
      </w:r>
      <w:r w:rsidRPr="00E86518">
        <w:t xml:space="preserve">– </w:t>
      </w:r>
      <w:r w:rsidR="00E74535" w:rsidRPr="00E86518">
        <w:rPr>
          <w:rFonts w:eastAsia="TimesNewRomanPSMT"/>
        </w:rPr>
        <w:t>odhad d</w:t>
      </w:r>
      <w:r w:rsidR="00E74535" w:rsidRPr="00E86518">
        <w:rPr>
          <w:rFonts w:eastAsia="TimesNewRomanPSMT"/>
          <w:bCs/>
        </w:rPr>
        <w:t>ávkové závislosti</w:t>
      </w:r>
      <w:r w:rsidR="00E74535" w:rsidRPr="00E86518">
        <w:rPr>
          <w:rFonts w:eastAsia="TimesNewRomanPSMT"/>
          <w:b/>
          <w:bCs/>
        </w:rPr>
        <w:t xml:space="preserve"> </w:t>
      </w:r>
      <w:r w:rsidR="00E74535" w:rsidRPr="00E86518">
        <w:rPr>
          <w:rFonts w:eastAsia="TimesNewRomanPSMT"/>
        </w:rPr>
        <w:t>tohoto efektu, tedy jak se intenzita, frekvence nebo pravděpodobnost nežádoucích účinků mění s dávkou</w:t>
      </w:r>
      <w:r w:rsidR="00E74535" w:rsidRPr="00E86518">
        <w:t xml:space="preserve">, což je nezbytným předpokladem pro možnost odhadu míry rizika </w:t>
      </w:r>
    </w:p>
    <w:p w14:paraId="54E21E6F" w14:textId="77777777" w:rsidR="00424897" w:rsidRPr="00E86518" w:rsidRDefault="00424897" w:rsidP="002A4644">
      <w:pPr>
        <w:pStyle w:val="Prosttext"/>
        <w:rPr>
          <w:rFonts w:ascii="Times New Roman" w:hAnsi="Times New Roman"/>
          <w:sz w:val="24"/>
          <w:szCs w:val="24"/>
        </w:rPr>
      </w:pPr>
    </w:p>
    <w:p w14:paraId="4E3F6727" w14:textId="63CF6003" w:rsidR="00424897" w:rsidRPr="00E86518" w:rsidRDefault="00424897" w:rsidP="008A7B08">
      <w:pPr>
        <w:pStyle w:val="Prosttext"/>
        <w:numPr>
          <w:ilvl w:val="0"/>
          <w:numId w:val="13"/>
        </w:numPr>
        <w:autoSpaceDE w:val="0"/>
        <w:autoSpaceDN w:val="0"/>
        <w:adjustRightInd w:val="0"/>
        <w:jc w:val="both"/>
        <w:rPr>
          <w:rFonts w:ascii="Times New Roman" w:hAnsi="Times New Roman"/>
          <w:sz w:val="24"/>
          <w:szCs w:val="24"/>
        </w:rPr>
      </w:pPr>
      <w:r w:rsidRPr="00E86518">
        <w:rPr>
          <w:rFonts w:ascii="Times New Roman" w:hAnsi="Times New Roman"/>
          <w:bCs/>
          <w:sz w:val="24"/>
          <w:szCs w:val="24"/>
        </w:rPr>
        <w:t>Hodnocení (odhad) expozice</w:t>
      </w:r>
      <w:r w:rsidRPr="00E86518">
        <w:rPr>
          <w:rFonts w:ascii="Times New Roman" w:hAnsi="Times New Roman"/>
          <w:b/>
          <w:bCs/>
          <w:sz w:val="24"/>
          <w:szCs w:val="24"/>
        </w:rPr>
        <w:t xml:space="preserve"> </w:t>
      </w:r>
      <w:r w:rsidRPr="00E86518">
        <w:rPr>
          <w:rFonts w:ascii="Times New Roman" w:hAnsi="Times New Roman"/>
          <w:sz w:val="24"/>
          <w:szCs w:val="24"/>
        </w:rPr>
        <w:t>–</w:t>
      </w:r>
      <w:r w:rsidR="00E74535" w:rsidRPr="00E86518">
        <w:rPr>
          <w:rFonts w:ascii="Times New Roman" w:hAnsi="Times New Roman"/>
          <w:sz w:val="24"/>
          <w:szCs w:val="24"/>
        </w:rPr>
        <w:t xml:space="preserve"> </w:t>
      </w:r>
      <w:r w:rsidR="00E74535" w:rsidRPr="00E86518">
        <w:rPr>
          <w:rFonts w:ascii="Times New Roman" w:eastAsia="TimesNewRomanPSMT" w:hAnsi="Times New Roman"/>
          <w:sz w:val="24"/>
          <w:szCs w:val="24"/>
        </w:rPr>
        <w:t>to znamená, zda a do jaké míry je populace vystavena působení sledované látky nebo faktoru v daném prostředí. Na základě znalosti situace se při něm sestavuje expoziční scénář, tedy představa, jakými cestami a v jaké intenzitě a množství je konkrétní populace</w:t>
      </w:r>
      <w:r w:rsidR="00E74535" w:rsidRPr="00E86518">
        <w:rPr>
          <w:rFonts w:ascii="Times New Roman" w:eastAsia="TimesNewRomanPSMT" w:hAnsi="Times New Roman"/>
        </w:rPr>
        <w:t xml:space="preserve"> </w:t>
      </w:r>
      <w:r w:rsidR="00E74535" w:rsidRPr="00E86518">
        <w:rPr>
          <w:rFonts w:ascii="Times New Roman" w:eastAsia="TimesNewRomanPSMT" w:hAnsi="Times New Roman"/>
          <w:sz w:val="24"/>
          <w:szCs w:val="24"/>
        </w:rPr>
        <w:t>exponována dané látce a jaká je její dávka.</w:t>
      </w:r>
    </w:p>
    <w:p w14:paraId="25A33F4A" w14:textId="77777777" w:rsidR="00E74535" w:rsidRPr="00E86518" w:rsidRDefault="00E74535" w:rsidP="00E74535">
      <w:pPr>
        <w:pStyle w:val="Prosttext"/>
        <w:autoSpaceDE w:val="0"/>
        <w:autoSpaceDN w:val="0"/>
        <w:adjustRightInd w:val="0"/>
        <w:ind w:left="360"/>
        <w:jc w:val="both"/>
        <w:rPr>
          <w:rFonts w:ascii="Times New Roman" w:hAnsi="Times New Roman"/>
          <w:sz w:val="24"/>
          <w:szCs w:val="24"/>
        </w:rPr>
      </w:pPr>
    </w:p>
    <w:p w14:paraId="71651883" w14:textId="77777777" w:rsidR="00424897" w:rsidRPr="00E86518" w:rsidRDefault="00424897" w:rsidP="008A7B08">
      <w:pPr>
        <w:pStyle w:val="Prosttext"/>
        <w:numPr>
          <w:ilvl w:val="0"/>
          <w:numId w:val="13"/>
        </w:numPr>
        <w:autoSpaceDE w:val="0"/>
        <w:autoSpaceDN w:val="0"/>
        <w:adjustRightInd w:val="0"/>
        <w:jc w:val="both"/>
        <w:rPr>
          <w:rFonts w:ascii="Times New Roman" w:hAnsi="Times New Roman"/>
          <w:sz w:val="24"/>
          <w:szCs w:val="24"/>
        </w:rPr>
      </w:pPr>
      <w:r w:rsidRPr="00E86518">
        <w:rPr>
          <w:rFonts w:ascii="Times New Roman" w:hAnsi="Times New Roman"/>
          <w:bCs/>
          <w:sz w:val="24"/>
          <w:szCs w:val="24"/>
        </w:rPr>
        <w:t>Charakterizace rizika</w:t>
      </w:r>
      <w:r w:rsidRPr="00E86518">
        <w:rPr>
          <w:rFonts w:ascii="Times New Roman" w:hAnsi="Times New Roman"/>
          <w:b/>
          <w:bCs/>
          <w:sz w:val="24"/>
          <w:szCs w:val="24"/>
        </w:rPr>
        <w:t xml:space="preserve"> </w:t>
      </w:r>
      <w:r w:rsidRPr="00E86518">
        <w:rPr>
          <w:rFonts w:ascii="Times New Roman" w:hAnsi="Times New Roman"/>
          <w:sz w:val="24"/>
          <w:szCs w:val="24"/>
        </w:rPr>
        <w:t>– je konkrétním krokem v odhadu rizika. Znamená integraci (syntézu) poznatků získaných v předchozích krocích, včetně zvážení všech nejistot, závažnosti i slabých stránek dokumentace. Účelem je dospět, pokud to dostupné informace umožňují ke kvantitativnímu vyjádření míry konkrétního zdravotního rizika v posuzované situaci, která může sloužit jako podklad pro rozhodování o opatřeních, tedy pro řízení rizika.</w:t>
      </w:r>
    </w:p>
    <w:p w14:paraId="4E6A4629" w14:textId="77777777" w:rsidR="00A25DBF" w:rsidRDefault="00865C3E" w:rsidP="00424897">
      <w:pPr>
        <w:autoSpaceDE w:val="0"/>
        <w:autoSpaceDN w:val="0"/>
        <w:adjustRightInd w:val="0"/>
        <w:spacing w:before="120"/>
        <w:jc w:val="both"/>
        <w:rPr>
          <w:sz w:val="22"/>
          <w:szCs w:val="22"/>
        </w:rPr>
      </w:pPr>
      <w:r>
        <w:rPr>
          <w:sz w:val="22"/>
          <w:szCs w:val="22"/>
        </w:rPr>
        <w:tab/>
      </w:r>
    </w:p>
    <w:p w14:paraId="5E127460" w14:textId="5713AF6E" w:rsidR="00677AC9" w:rsidRPr="00424897" w:rsidRDefault="00865C3E" w:rsidP="00804A2E">
      <w:pPr>
        <w:pStyle w:val="Zkladntextodsazen3"/>
        <w:ind w:left="0" w:firstLine="0"/>
      </w:pPr>
      <w:r w:rsidRPr="00424897">
        <w:t xml:space="preserve">Pro daný protokol </w:t>
      </w:r>
      <w:r w:rsidR="00A91C5A">
        <w:t xml:space="preserve">hodnocení zdravotních rizik hluku </w:t>
      </w:r>
      <w:r w:rsidRPr="00424897">
        <w:t>byl předložen</w:t>
      </w:r>
      <w:r w:rsidR="00A25DBF" w:rsidRPr="00424897">
        <w:t>:</w:t>
      </w:r>
    </w:p>
    <w:p w14:paraId="076576F1" w14:textId="0D6D399E" w:rsidR="009736D2" w:rsidRDefault="009736D2" w:rsidP="000368D6">
      <w:pPr>
        <w:pStyle w:val="Odstavecseseznamem"/>
        <w:numPr>
          <w:ilvl w:val="0"/>
          <w:numId w:val="29"/>
        </w:numPr>
        <w:overflowPunct w:val="0"/>
        <w:autoSpaceDE w:val="0"/>
        <w:snapToGrid w:val="0"/>
        <w:jc w:val="both"/>
      </w:pPr>
      <w:r w:rsidRPr="000368D6">
        <w:rPr>
          <w:rFonts w:cs="Tahoma"/>
        </w:rPr>
        <w:t>Protokol o akreditované zkoušce</w:t>
      </w:r>
      <w:r w:rsidR="00D74345" w:rsidRPr="000368D6">
        <w:rPr>
          <w:rFonts w:cs="Tahoma"/>
        </w:rPr>
        <w:t xml:space="preserve"> </w:t>
      </w:r>
      <w:r w:rsidR="00D74345" w:rsidRPr="000368D6">
        <w:rPr>
          <w:rFonts w:cs="Tahoma"/>
          <w:color w:val="000000"/>
        </w:rPr>
        <w:t>102E/1A/2016</w:t>
      </w:r>
      <w:r w:rsidRPr="000368D6">
        <w:rPr>
          <w:rFonts w:cs="Tahoma"/>
        </w:rPr>
        <w:t>: měření hluku v mimopracovním prostředí</w:t>
      </w:r>
      <w:r w:rsidR="00D74345" w:rsidRPr="000368D6">
        <w:rPr>
          <w:rFonts w:cs="Tahoma"/>
          <w:color w:val="000000"/>
        </w:rPr>
        <w:t>,</w:t>
      </w:r>
      <w:r w:rsidRPr="000368D6">
        <w:rPr>
          <w:rFonts w:cs="Tahoma"/>
          <w:color w:val="000000"/>
        </w:rPr>
        <w:t xml:space="preserve"> </w:t>
      </w:r>
      <w:r w:rsidR="00A91C5A" w:rsidRPr="000368D6">
        <w:rPr>
          <w:bCs/>
        </w:rPr>
        <w:t xml:space="preserve">vypracovaný </w:t>
      </w:r>
      <w:r w:rsidRPr="009736D2">
        <w:t>BIOANA</w:t>
      </w:r>
      <w:r w:rsidRPr="000368D6">
        <w:rPr>
          <w:spacing w:val="-20"/>
        </w:rPr>
        <w:t>L</w:t>
      </w:r>
      <w:r w:rsidRPr="009736D2">
        <w:t>YTIKA</w:t>
      </w:r>
      <w:r w:rsidRPr="000368D6">
        <w:rPr>
          <w:spacing w:val="55"/>
        </w:rPr>
        <w:t xml:space="preserve"> </w:t>
      </w:r>
      <w:r w:rsidRPr="009736D2">
        <w:t xml:space="preserve">CZ, </w:t>
      </w:r>
      <w:r w:rsidRPr="000368D6">
        <w:rPr>
          <w:w w:val="110"/>
        </w:rPr>
        <w:t>s.</w:t>
      </w:r>
      <w:r w:rsidRPr="000368D6">
        <w:rPr>
          <w:spacing w:val="-12"/>
          <w:w w:val="110"/>
        </w:rPr>
        <w:t>r</w:t>
      </w:r>
      <w:r w:rsidRPr="000368D6">
        <w:rPr>
          <w:w w:val="105"/>
        </w:rPr>
        <w:t>.o</w:t>
      </w:r>
      <w:r w:rsidRPr="000368D6">
        <w:rPr>
          <w:rFonts w:ascii="Arial" w:hAnsi="Arial" w:cs="Arial"/>
          <w:color w:val="5A5B5D"/>
          <w:w w:val="105"/>
        </w:rPr>
        <w:t xml:space="preserve">., </w:t>
      </w:r>
      <w:r w:rsidRPr="009736D2">
        <w:t>Laboratoř Chrudim</w:t>
      </w:r>
      <w:r>
        <w:t>,</w:t>
      </w:r>
      <w:r w:rsidRPr="009736D2">
        <w:t xml:space="preserve"> 537 01 Chrudim, Píšťovy 820</w:t>
      </w:r>
    </w:p>
    <w:p w14:paraId="1639D279" w14:textId="150E70AB" w:rsidR="000368D6" w:rsidRPr="009736D2" w:rsidRDefault="000368D6" w:rsidP="000368D6">
      <w:pPr>
        <w:pStyle w:val="Odstavecseseznamem"/>
        <w:numPr>
          <w:ilvl w:val="0"/>
          <w:numId w:val="29"/>
        </w:numPr>
        <w:overflowPunct w:val="0"/>
        <w:autoSpaceDE w:val="0"/>
        <w:snapToGrid w:val="0"/>
        <w:jc w:val="both"/>
      </w:pPr>
      <w:r>
        <w:t>Informace od objednatele</w:t>
      </w:r>
    </w:p>
    <w:p w14:paraId="361943AD" w14:textId="59F476DE" w:rsidR="00501B1D" w:rsidRDefault="00501B1D" w:rsidP="009736D2">
      <w:pPr>
        <w:autoSpaceDE w:val="0"/>
        <w:autoSpaceDN w:val="0"/>
        <w:adjustRightInd w:val="0"/>
        <w:jc w:val="both"/>
      </w:pPr>
    </w:p>
    <w:p w14:paraId="3B15D03E" w14:textId="77777777" w:rsidR="000368D6" w:rsidRDefault="000368D6" w:rsidP="009736D2">
      <w:pPr>
        <w:autoSpaceDE w:val="0"/>
        <w:autoSpaceDN w:val="0"/>
        <w:adjustRightInd w:val="0"/>
        <w:jc w:val="both"/>
      </w:pPr>
    </w:p>
    <w:p w14:paraId="28AA99CA" w14:textId="77777777" w:rsidR="00865C3E" w:rsidRDefault="0078456A" w:rsidP="00C3414C">
      <w:pPr>
        <w:shd w:val="clear" w:color="auto" w:fill="C0C0C0"/>
        <w:rPr>
          <w:b/>
          <w:bCs/>
          <w:sz w:val="28"/>
        </w:rPr>
      </w:pPr>
      <w:r>
        <w:rPr>
          <w:b/>
          <w:bCs/>
          <w:sz w:val="28"/>
        </w:rPr>
        <w:t>2.</w:t>
      </w:r>
      <w:r>
        <w:rPr>
          <w:b/>
          <w:bCs/>
          <w:sz w:val="28"/>
        </w:rPr>
        <w:tab/>
      </w:r>
      <w:r w:rsidR="00865C3E">
        <w:rPr>
          <w:b/>
          <w:bCs/>
          <w:sz w:val="28"/>
        </w:rPr>
        <w:t xml:space="preserve">Informace o </w:t>
      </w:r>
      <w:r w:rsidR="008C0DE3">
        <w:rPr>
          <w:b/>
          <w:bCs/>
          <w:sz w:val="28"/>
        </w:rPr>
        <w:t>záměru</w:t>
      </w:r>
      <w:r w:rsidR="00865C3E">
        <w:rPr>
          <w:b/>
          <w:bCs/>
          <w:sz w:val="28"/>
        </w:rPr>
        <w:t xml:space="preserve"> </w:t>
      </w:r>
    </w:p>
    <w:p w14:paraId="33DA9B7F" w14:textId="77777777" w:rsidR="00865C3E" w:rsidRDefault="00865C3E">
      <w:pPr>
        <w:ind w:left="360" w:hanging="360"/>
      </w:pPr>
    </w:p>
    <w:p w14:paraId="46BB0AFC" w14:textId="14D8C3D7" w:rsidR="00D74345" w:rsidRDefault="00D74345" w:rsidP="00D74345">
      <w:pPr>
        <w:pStyle w:val="Zkladntext"/>
      </w:pPr>
      <w:r w:rsidRPr="00E47F01">
        <w:t xml:space="preserve">Měření hluku </w:t>
      </w:r>
      <w:r w:rsidRPr="00827734">
        <w:t>v chráněném venkovním prostoru (staveb) a chráněném vnitřním prostoru staveb pro bydlení z celkového provozu společnosti Saint-Gobain Construction Products CZ a.s., Masarykova 197, 517 50 Častolovice</w:t>
      </w:r>
      <w:r>
        <w:t xml:space="preserve"> proběhlo za účelem zjištění aktuálních hodnot hluku pro </w:t>
      </w:r>
      <w:r>
        <w:lastRenderedPageBreak/>
        <w:t>účely hlukové studie a výjimky na pro časově omezené povolení provozu nadlimitního zdroje hluku.</w:t>
      </w:r>
    </w:p>
    <w:p w14:paraId="2D0D7973" w14:textId="01B98F4C" w:rsidR="008B7207" w:rsidRDefault="008B7207" w:rsidP="00D74345">
      <w:pPr>
        <w:autoSpaceDE w:val="0"/>
        <w:autoSpaceDN w:val="0"/>
        <w:adjustRightInd w:val="0"/>
        <w:jc w:val="both"/>
      </w:pPr>
    </w:p>
    <w:p w14:paraId="47C32291" w14:textId="77777777" w:rsidR="00D74345" w:rsidRDefault="00D74345" w:rsidP="00D74345">
      <w:pPr>
        <w:overflowPunct w:val="0"/>
        <w:autoSpaceDE w:val="0"/>
        <w:snapToGrid w:val="0"/>
        <w:jc w:val="both"/>
      </w:pPr>
      <w:r>
        <w:t xml:space="preserve">Měřeným zdrojem hluku byl celkový provoz </w:t>
      </w:r>
      <w:r w:rsidRPr="00827734">
        <w:t>společnosti Saint-</w:t>
      </w:r>
      <w:r>
        <w:t>Gobain Construction Products CZ </w:t>
      </w:r>
      <w:r w:rsidRPr="00827734">
        <w:t>a.s., Masarykova 197, 517 50 Častolovice</w:t>
      </w:r>
      <w:r>
        <w:t xml:space="preserve">. </w:t>
      </w:r>
    </w:p>
    <w:p w14:paraId="2411E141" w14:textId="77777777" w:rsidR="00D74345" w:rsidRDefault="00D74345" w:rsidP="00D74345">
      <w:pPr>
        <w:overflowPunct w:val="0"/>
        <w:autoSpaceDE w:val="0"/>
        <w:snapToGrid w:val="0"/>
        <w:jc w:val="both"/>
      </w:pPr>
    </w:p>
    <w:p w14:paraId="5CFB4684" w14:textId="77777777" w:rsidR="00D74345" w:rsidRPr="001E5226" w:rsidRDefault="00D74345" w:rsidP="00D74345">
      <w:pPr>
        <w:overflowPunct w:val="0"/>
        <w:autoSpaceDE w:val="0"/>
        <w:snapToGrid w:val="0"/>
        <w:jc w:val="both"/>
      </w:pPr>
      <w:r w:rsidRPr="001E5226">
        <w:t>Společnost Saint-Gobain Construction Products CZ a.s., Divize ISOVER (dále též SG Častolovice), vyrábí minerální izolační materiály podobné příbuzné aplikace minerální vlny nejen pro stavební průmysl. Areál SG Častolovice se nachází na západním okraji města Častolovice. Podél areálu prochází pozemní komunikace č. I/11.</w:t>
      </w:r>
    </w:p>
    <w:p w14:paraId="2ECD0FDE" w14:textId="77777777" w:rsidR="00D74345" w:rsidRPr="001E5226" w:rsidRDefault="00D74345" w:rsidP="00D74345">
      <w:pPr>
        <w:overflowPunct w:val="0"/>
        <w:autoSpaceDE w:val="0"/>
        <w:snapToGrid w:val="0"/>
        <w:jc w:val="both"/>
      </w:pPr>
      <w:r w:rsidRPr="001E5226">
        <w:t>Obytná zástavba směrem na Častolovice (SV a V směr) se nachází z části za terénní vlnou (SV), která tvoří přirozenou akustickou bariéru. Západním směrem, tj. k obci Čestice, je terén rovinatý (otevřený) a šíření zvuku nebrání žádné významné překážky.</w:t>
      </w:r>
    </w:p>
    <w:p w14:paraId="72735871" w14:textId="317F5BAD" w:rsidR="003F334C" w:rsidRDefault="00386139" w:rsidP="00F72A64">
      <w:pPr>
        <w:spacing w:before="120" w:after="120"/>
        <w:jc w:val="both"/>
      </w:pPr>
      <w:r>
        <w:t xml:space="preserve">Obr. 1: </w:t>
      </w:r>
      <w:r w:rsidR="0073579A">
        <w:t>Mapa širších vztahů</w:t>
      </w:r>
      <w:r>
        <w:t xml:space="preserve"> (převzato z</w:t>
      </w:r>
      <w:r w:rsidR="008B7207">
        <w:t> protokolu o zkoušce</w:t>
      </w:r>
      <w:r>
        <w:t>)</w:t>
      </w:r>
    </w:p>
    <w:p w14:paraId="4F0C8297" w14:textId="673D97CC" w:rsidR="004B60A8" w:rsidRDefault="00D74345" w:rsidP="00D74345">
      <w:r>
        <w:rPr>
          <w:noProof/>
        </w:rPr>
        <w:drawing>
          <wp:anchor distT="0" distB="0" distL="114300" distR="114300" simplePos="0" relativeHeight="251659264" behindDoc="1" locked="0" layoutInCell="1" allowOverlap="1" wp14:anchorId="642359FF" wp14:editId="5D9A98CF">
            <wp:simplePos x="0" y="0"/>
            <wp:positionH relativeFrom="column">
              <wp:posOffset>33020</wp:posOffset>
            </wp:positionH>
            <wp:positionV relativeFrom="paragraph">
              <wp:posOffset>71755</wp:posOffset>
            </wp:positionV>
            <wp:extent cx="5848350" cy="3505200"/>
            <wp:effectExtent l="0" t="0" r="0" b="0"/>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zab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48350" cy="3505200"/>
                    </a:xfrm>
                    <a:prstGeom prst="rect">
                      <a:avLst/>
                    </a:prstGeom>
                  </pic:spPr>
                </pic:pic>
              </a:graphicData>
            </a:graphic>
            <wp14:sizeRelH relativeFrom="page">
              <wp14:pctWidth>0</wp14:pctWidth>
            </wp14:sizeRelH>
            <wp14:sizeRelV relativeFrom="page">
              <wp14:pctHeight>0</wp14:pctHeight>
            </wp14:sizeRelV>
          </wp:anchor>
        </w:drawing>
      </w:r>
      <w:r w:rsidR="004B60A8">
        <w:tab/>
      </w:r>
      <w:r w:rsidR="004B60A8">
        <w:tab/>
      </w:r>
    </w:p>
    <w:p w14:paraId="0754726F" w14:textId="14504A43" w:rsidR="004B60A8" w:rsidRDefault="004B60A8" w:rsidP="004B60A8">
      <w:pPr>
        <w:spacing w:before="120" w:after="120" w:line="240" w:lineRule="atLeast"/>
        <w:ind w:left="567"/>
        <w:jc w:val="both"/>
      </w:pPr>
    </w:p>
    <w:p w14:paraId="4DAB71F7" w14:textId="45D27E53" w:rsidR="00D74345" w:rsidRDefault="00D74345" w:rsidP="004B60A8">
      <w:pPr>
        <w:spacing w:before="120" w:after="120" w:line="240" w:lineRule="atLeast"/>
        <w:ind w:left="567"/>
        <w:jc w:val="both"/>
      </w:pPr>
    </w:p>
    <w:p w14:paraId="453FE8EC" w14:textId="77777777" w:rsidR="00D74345" w:rsidRDefault="00D74345" w:rsidP="004B60A8">
      <w:pPr>
        <w:spacing w:before="120" w:after="120" w:line="240" w:lineRule="atLeast"/>
        <w:ind w:left="567"/>
        <w:jc w:val="both"/>
      </w:pPr>
    </w:p>
    <w:p w14:paraId="3FD7778E" w14:textId="77777777" w:rsidR="00D74345" w:rsidRDefault="00D74345" w:rsidP="00D74345">
      <w:pPr>
        <w:spacing w:before="120" w:after="120" w:line="240" w:lineRule="atLeast"/>
        <w:jc w:val="both"/>
      </w:pPr>
    </w:p>
    <w:p w14:paraId="481269E9" w14:textId="77777777" w:rsidR="00D74345" w:rsidRDefault="00D74345" w:rsidP="004B60A8">
      <w:pPr>
        <w:spacing w:before="120" w:after="120" w:line="240" w:lineRule="atLeast"/>
        <w:ind w:left="567"/>
        <w:jc w:val="both"/>
      </w:pPr>
    </w:p>
    <w:p w14:paraId="0575FBFF" w14:textId="77777777" w:rsidR="00D74345" w:rsidRDefault="00D74345" w:rsidP="004B60A8">
      <w:pPr>
        <w:spacing w:before="120" w:after="120" w:line="240" w:lineRule="atLeast"/>
        <w:ind w:left="567"/>
        <w:jc w:val="both"/>
      </w:pPr>
    </w:p>
    <w:p w14:paraId="1A510BC7" w14:textId="77777777" w:rsidR="00D74345" w:rsidRDefault="00D74345" w:rsidP="004B60A8">
      <w:pPr>
        <w:spacing w:before="120" w:after="120" w:line="240" w:lineRule="atLeast"/>
        <w:ind w:left="567"/>
        <w:jc w:val="both"/>
      </w:pPr>
    </w:p>
    <w:p w14:paraId="323D963A" w14:textId="014D386F" w:rsidR="00D74345" w:rsidRDefault="0073579A" w:rsidP="004B60A8">
      <w:pPr>
        <w:spacing w:before="120" w:after="120" w:line="240" w:lineRule="atLeast"/>
        <w:ind w:left="567"/>
        <w:jc w:val="both"/>
      </w:pPr>
      <w:r>
        <w:rPr>
          <w:noProof/>
        </w:rPr>
        <mc:AlternateContent>
          <mc:Choice Requires="wps">
            <w:drawing>
              <wp:anchor distT="0" distB="0" distL="114300" distR="114300" simplePos="0" relativeHeight="251660288" behindDoc="0" locked="0" layoutInCell="1" allowOverlap="1" wp14:anchorId="0A7AA70F" wp14:editId="013ED6B3">
                <wp:simplePos x="0" y="0"/>
                <wp:positionH relativeFrom="column">
                  <wp:posOffset>2671445</wp:posOffset>
                </wp:positionH>
                <wp:positionV relativeFrom="paragraph">
                  <wp:posOffset>79375</wp:posOffset>
                </wp:positionV>
                <wp:extent cx="1276350" cy="638175"/>
                <wp:effectExtent l="0" t="0" r="19050" b="28575"/>
                <wp:wrapNone/>
                <wp:docPr id="2" name="Ovál 2"/>
                <wp:cNvGraphicFramePr/>
                <a:graphic xmlns:a="http://schemas.openxmlformats.org/drawingml/2006/main">
                  <a:graphicData uri="http://schemas.microsoft.com/office/word/2010/wordprocessingShape">
                    <wps:wsp>
                      <wps:cNvSpPr/>
                      <wps:spPr>
                        <a:xfrm>
                          <a:off x="0" y="0"/>
                          <a:ext cx="1276350" cy="6381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A6F65C" id="Ovál 2" o:spid="_x0000_s1026" style="position:absolute;margin-left:210.35pt;margin-top:6.25pt;width:100.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" filled="f" strokecolor="red" strokeweight="1pt">
                <v:stroke joinstyle="miter"/>
              </v:oval>
            </w:pict>
          </mc:Fallback>
        </mc:AlternateContent>
      </w:r>
    </w:p>
    <w:p w14:paraId="7FB90D1A" w14:textId="77777777" w:rsidR="00D74345" w:rsidRDefault="00D74345" w:rsidP="004B60A8">
      <w:pPr>
        <w:spacing w:before="120" w:after="120" w:line="240" w:lineRule="atLeast"/>
        <w:ind w:left="567"/>
        <w:jc w:val="both"/>
      </w:pPr>
    </w:p>
    <w:p w14:paraId="79389D12" w14:textId="5DC54545" w:rsidR="00D74345" w:rsidRDefault="0073579A" w:rsidP="004B60A8">
      <w:pPr>
        <w:spacing w:before="120" w:after="120" w:line="240" w:lineRule="atLeast"/>
        <w:ind w:left="567"/>
        <w:jc w:val="both"/>
      </w:pPr>
      <w:r>
        <w:rPr>
          <w:noProof/>
        </w:rPr>
        <mc:AlternateContent>
          <mc:Choice Requires="wps">
            <w:drawing>
              <wp:anchor distT="0" distB="0" distL="114300" distR="114300" simplePos="0" relativeHeight="251661312" behindDoc="0" locked="0" layoutInCell="1" allowOverlap="1" wp14:anchorId="73FF49B2" wp14:editId="1084B6B5">
                <wp:simplePos x="0" y="0"/>
                <wp:positionH relativeFrom="column">
                  <wp:posOffset>2557145</wp:posOffset>
                </wp:positionH>
                <wp:positionV relativeFrom="paragraph">
                  <wp:posOffset>167005</wp:posOffset>
                </wp:positionV>
                <wp:extent cx="457200" cy="1104900"/>
                <wp:effectExtent l="0" t="38100" r="57150" b="19050"/>
                <wp:wrapNone/>
                <wp:docPr id="3" name="Přímá spojnice se šipkou 3"/>
                <wp:cNvGraphicFramePr/>
                <a:graphic xmlns:a="http://schemas.openxmlformats.org/drawingml/2006/main">
                  <a:graphicData uri="http://schemas.microsoft.com/office/word/2010/wordprocessingShape">
                    <wps:wsp>
                      <wps:cNvCnPr/>
                      <wps:spPr>
                        <a:xfrm flipV="1">
                          <a:off x="0" y="0"/>
                          <a:ext cx="457200" cy="1104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4FEA59" id="_x0000_t32" coordsize="21600,21600" o:spt="32" o:oned="t" path="m,l21600,21600e" filled="f">
                <v:path arrowok="t" fillok="f" o:connecttype="none"/>
                <o:lock v:ext="edit" shapetype="t"/>
              </v:shapetype>
              <v:shape id="Přímá spojnice se šipkou 3" o:spid="_x0000_s1026" type="#_x0000_t32" style="position:absolute;margin-left:201.35pt;margin-top:13.15pt;width:36pt;height:8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" strokecolor="red" strokeweight=".5pt">
                <v:stroke endarrow="block" joinstyle="miter"/>
              </v:shape>
            </w:pict>
          </mc:Fallback>
        </mc:AlternateContent>
      </w:r>
    </w:p>
    <w:p w14:paraId="0BEEBAD9" w14:textId="77777777" w:rsidR="00D74345" w:rsidRDefault="00D74345" w:rsidP="004B60A8">
      <w:pPr>
        <w:spacing w:before="120" w:after="120" w:line="240" w:lineRule="atLeast"/>
        <w:ind w:left="567"/>
        <w:jc w:val="both"/>
      </w:pPr>
    </w:p>
    <w:p w14:paraId="6082BB52" w14:textId="77777777" w:rsidR="00D74345" w:rsidRDefault="00D74345" w:rsidP="004B60A8">
      <w:pPr>
        <w:spacing w:before="120" w:after="120" w:line="240" w:lineRule="atLeast"/>
        <w:ind w:left="567"/>
        <w:jc w:val="both"/>
      </w:pPr>
    </w:p>
    <w:p w14:paraId="1259243D" w14:textId="77777777" w:rsidR="00D74345" w:rsidRDefault="00D74345" w:rsidP="004B60A8">
      <w:pPr>
        <w:spacing w:before="120" w:after="120" w:line="240" w:lineRule="atLeast"/>
        <w:ind w:left="567"/>
        <w:jc w:val="both"/>
      </w:pPr>
    </w:p>
    <w:p w14:paraId="00CFFDC6" w14:textId="77777777" w:rsidR="00D74345" w:rsidRDefault="00D74345" w:rsidP="004B60A8">
      <w:pPr>
        <w:spacing w:before="120" w:after="120" w:line="240" w:lineRule="atLeast"/>
        <w:ind w:left="567"/>
        <w:jc w:val="both"/>
      </w:pPr>
    </w:p>
    <w:p w14:paraId="4585A748" w14:textId="7CFD5E9A" w:rsidR="00D74345" w:rsidRDefault="0073579A" w:rsidP="004B60A8">
      <w:pPr>
        <w:spacing w:before="120" w:after="120" w:line="240" w:lineRule="atLeast"/>
        <w:ind w:left="567"/>
        <w:jc w:val="both"/>
      </w:pPr>
      <w:r>
        <w:tab/>
      </w:r>
      <w:r>
        <w:tab/>
      </w:r>
      <w:r>
        <w:tab/>
        <w:t xml:space="preserve">Areál společnosti </w:t>
      </w:r>
      <w:r w:rsidRPr="001E5226">
        <w:t>Saint-Gobain Construction Products CZ a.s.</w:t>
      </w:r>
    </w:p>
    <w:p w14:paraId="1F3E3B8D" w14:textId="77777777" w:rsidR="0073579A" w:rsidRDefault="0073579A" w:rsidP="004B60A8">
      <w:pPr>
        <w:spacing w:before="120" w:after="120" w:line="240" w:lineRule="atLeast"/>
        <w:ind w:left="567"/>
        <w:jc w:val="both"/>
      </w:pPr>
    </w:p>
    <w:p w14:paraId="16BDF4DC" w14:textId="2DFABDE9" w:rsidR="00386139" w:rsidRDefault="008B7207" w:rsidP="004B60A8">
      <w:pPr>
        <w:spacing w:before="120" w:after="120" w:line="240" w:lineRule="atLeast"/>
        <w:ind w:left="567"/>
        <w:jc w:val="both"/>
      </w:pPr>
      <w:r w:rsidRPr="008B7207">
        <w:t xml:space="preserve"> </w:t>
      </w:r>
    </w:p>
    <w:p w14:paraId="28A86BF4" w14:textId="6354C9F4" w:rsidR="00391D60" w:rsidRPr="00C62970" w:rsidRDefault="002D345C" w:rsidP="00391D60">
      <w:pPr>
        <w:shd w:val="clear" w:color="auto" w:fill="C0C0C0"/>
        <w:rPr>
          <w:b/>
          <w:bCs/>
          <w:sz w:val="28"/>
          <w:szCs w:val="28"/>
        </w:rPr>
      </w:pPr>
      <w:r>
        <w:rPr>
          <w:b/>
          <w:sz w:val="28"/>
          <w:szCs w:val="28"/>
        </w:rPr>
        <w:t>3</w:t>
      </w:r>
      <w:r w:rsidR="00391D60">
        <w:rPr>
          <w:b/>
          <w:sz w:val="28"/>
          <w:szCs w:val="28"/>
        </w:rPr>
        <w:t>.</w:t>
      </w:r>
      <w:r w:rsidR="00391D60">
        <w:rPr>
          <w:b/>
          <w:sz w:val="28"/>
          <w:szCs w:val="28"/>
        </w:rPr>
        <w:tab/>
      </w:r>
      <w:r w:rsidR="00391D60" w:rsidRPr="00C62970">
        <w:rPr>
          <w:b/>
          <w:sz w:val="28"/>
          <w:szCs w:val="28"/>
        </w:rPr>
        <w:t>Zdravotní riziko hluku v mimopracovním prostředí</w:t>
      </w:r>
    </w:p>
    <w:p w14:paraId="60423B17" w14:textId="77777777" w:rsidR="00391D60" w:rsidRDefault="00391D60" w:rsidP="00391D60">
      <w:pPr>
        <w:ind w:left="360" w:hanging="360"/>
        <w:rPr>
          <w:b/>
        </w:rPr>
      </w:pPr>
    </w:p>
    <w:p w14:paraId="67E1DE2F" w14:textId="62158D34" w:rsidR="00391D60" w:rsidRPr="00262B5D" w:rsidRDefault="002D345C" w:rsidP="00391D60">
      <w:pPr>
        <w:pStyle w:val="Nadpis1"/>
        <w:spacing w:before="120"/>
        <w:jc w:val="left"/>
        <w:rPr>
          <w:b w:val="0"/>
          <w:sz w:val="26"/>
          <w:szCs w:val="26"/>
        </w:rPr>
      </w:pPr>
      <w:bookmarkStart w:id="1" w:name="_Toc295982246"/>
      <w:r>
        <w:rPr>
          <w:sz w:val="26"/>
          <w:szCs w:val="26"/>
        </w:rPr>
        <w:t>3</w:t>
      </w:r>
      <w:r w:rsidR="00391D60" w:rsidRPr="00262B5D">
        <w:rPr>
          <w:sz w:val="26"/>
          <w:szCs w:val="26"/>
        </w:rPr>
        <w:t>.1</w:t>
      </w:r>
      <w:r w:rsidR="00391D60" w:rsidRPr="00262B5D">
        <w:rPr>
          <w:sz w:val="26"/>
          <w:szCs w:val="26"/>
        </w:rPr>
        <w:tab/>
      </w:r>
      <w:r w:rsidR="00391D60" w:rsidRPr="00262B5D">
        <w:rPr>
          <w:rFonts w:ascii="Times New Roman tučné" w:hAnsi="Times New Roman tučné"/>
          <w:caps w:val="0"/>
          <w:sz w:val="26"/>
          <w:szCs w:val="26"/>
        </w:rPr>
        <w:t>Identifikace nebezpečnosti</w:t>
      </w:r>
      <w:bookmarkEnd w:id="1"/>
    </w:p>
    <w:p w14:paraId="5F15A270" w14:textId="77777777" w:rsidR="00391D60" w:rsidRPr="00C74A41" w:rsidRDefault="00391D60" w:rsidP="00391D60">
      <w:pPr>
        <w:autoSpaceDE w:val="0"/>
        <w:autoSpaceDN w:val="0"/>
        <w:adjustRightInd w:val="0"/>
        <w:spacing w:before="120"/>
        <w:jc w:val="both"/>
      </w:pPr>
      <w:r w:rsidRPr="00C74A41">
        <w:t>Zvuky jsou přirozenou a důležitou součástí prostředí člověka, jsou základem řeči a příjmu informací, mohou přinášet příjemné zážitky. Zvuky příliš silné, příliš časté nebo působící v nevhodné situaci a době však mohou na člověka působit nepříznivě.</w:t>
      </w:r>
    </w:p>
    <w:p w14:paraId="5C059C12" w14:textId="77777777" w:rsidR="00391D60" w:rsidRPr="00C74A41" w:rsidRDefault="00391D60" w:rsidP="00391D60">
      <w:pPr>
        <w:autoSpaceDE w:val="0"/>
        <w:autoSpaceDN w:val="0"/>
        <w:adjustRightInd w:val="0"/>
        <w:jc w:val="both"/>
      </w:pPr>
      <w:r w:rsidRPr="00C74A41">
        <w:lastRenderedPageBreak/>
        <w:t>Obecně se tyto zvuky, které jsou nechtěné, obtěžující nebo mají dokonce škodlivé účinky, nazývají hlukem a to bez ohledu na jejich intenzitu. Proto je nutné hluk do jisté míry považovat za bezprahově působící noxu.</w:t>
      </w:r>
    </w:p>
    <w:p w14:paraId="5E414244" w14:textId="77777777" w:rsidR="00391D60" w:rsidRPr="00C74A41" w:rsidRDefault="00391D60" w:rsidP="00391D60">
      <w:pPr>
        <w:autoSpaceDE w:val="0"/>
        <w:autoSpaceDN w:val="0"/>
        <w:adjustRightInd w:val="0"/>
        <w:jc w:val="both"/>
      </w:pPr>
      <w:r w:rsidRPr="00C74A41">
        <w:t>Nepříznivé účinky hluku na lidské zdraví jsou obecně definovány jako morfologické nebo</w:t>
      </w:r>
      <w:r>
        <w:t xml:space="preserve"> </w:t>
      </w:r>
      <w:r w:rsidRPr="00C74A41">
        <w:t>funkční změny organizmu, které vedou ke zhoršení jeho funkcí, ke snížení kompenzační</w:t>
      </w:r>
      <w:r>
        <w:t xml:space="preserve"> </w:t>
      </w:r>
      <w:r w:rsidRPr="00C74A41">
        <w:t>kapacity vůči stresu nebo zvýšení vnímavosti k jiným nepříznivým vlivům prostředí.</w:t>
      </w:r>
    </w:p>
    <w:p w14:paraId="089821D8" w14:textId="77777777" w:rsidR="00391D60" w:rsidRDefault="00391D60" w:rsidP="00391D60">
      <w:pPr>
        <w:autoSpaceDE w:val="0"/>
        <w:autoSpaceDN w:val="0"/>
        <w:adjustRightInd w:val="0"/>
        <w:spacing w:before="120"/>
        <w:jc w:val="both"/>
      </w:pPr>
      <w:r w:rsidRPr="00C74A41">
        <w:t>Dlouhodobé nepříznivé účinky hluku na lidské zdraví je možné s určitým zjednodušením</w:t>
      </w:r>
      <w:r>
        <w:t xml:space="preserve"> </w:t>
      </w:r>
      <w:r w:rsidRPr="00C74A41">
        <w:t>rozdělit na</w:t>
      </w:r>
      <w:r>
        <w:t>:</w:t>
      </w:r>
    </w:p>
    <w:p w14:paraId="4F57079A" w14:textId="77777777" w:rsidR="00391D60" w:rsidRDefault="00391D60" w:rsidP="008A7B08">
      <w:pPr>
        <w:pStyle w:val="Odstavecseseznamem"/>
        <w:numPr>
          <w:ilvl w:val="0"/>
          <w:numId w:val="15"/>
        </w:numPr>
        <w:autoSpaceDE w:val="0"/>
        <w:autoSpaceDN w:val="0"/>
        <w:adjustRightInd w:val="0"/>
        <w:jc w:val="both"/>
      </w:pPr>
      <w:r w:rsidRPr="00C74A41">
        <w:t>účinky specifické, projevující se při ekvivale</w:t>
      </w:r>
      <w:r>
        <w:t>ntní hladině hluku nad 85 až 90 </w:t>
      </w:r>
      <w:r w:rsidRPr="00C74A41">
        <w:t>dB</w:t>
      </w:r>
      <w:r>
        <w:t xml:space="preserve"> </w:t>
      </w:r>
      <w:r w:rsidRPr="00C74A41">
        <w:t>poruchami č</w:t>
      </w:r>
      <w:r>
        <w:t xml:space="preserve">innosti sluchového analyzátoru </w:t>
      </w:r>
      <w:r w:rsidRPr="00C74A41">
        <w:t xml:space="preserve"> </w:t>
      </w:r>
    </w:p>
    <w:p w14:paraId="58CB7842" w14:textId="77777777" w:rsidR="00391D60" w:rsidRPr="00C74A41" w:rsidRDefault="00391D60" w:rsidP="008A7B08">
      <w:pPr>
        <w:pStyle w:val="Odstavecseseznamem"/>
        <w:numPr>
          <w:ilvl w:val="0"/>
          <w:numId w:val="15"/>
        </w:numPr>
        <w:autoSpaceDE w:val="0"/>
        <w:autoSpaceDN w:val="0"/>
        <w:adjustRightInd w:val="0"/>
        <w:jc w:val="both"/>
      </w:pPr>
      <w:r w:rsidRPr="00C74A41">
        <w:t>účinky nespecifické (mimosluchové), kdy</w:t>
      </w:r>
      <w:r>
        <w:t xml:space="preserve"> </w:t>
      </w:r>
      <w:r w:rsidRPr="00C74A41">
        <w:t>dochází k ovlivnění funkcí různých systémů organismu.</w:t>
      </w:r>
      <w:r>
        <w:t xml:space="preserve"> </w:t>
      </w:r>
      <w:r w:rsidRPr="00C74A41">
        <w:t>Tyto nespecifické systémové účinky se projevují prakticky v celém rozsahu intenzit hluku,</w:t>
      </w:r>
      <w:r>
        <w:t xml:space="preserve"> </w:t>
      </w:r>
      <w:r w:rsidRPr="00C74A41">
        <w:t>často se na nich podílí stresová reakce a ovlivnění neurohumorální a neurovegetativní</w:t>
      </w:r>
      <w:r>
        <w:t xml:space="preserve"> </w:t>
      </w:r>
      <w:r w:rsidRPr="00C74A41">
        <w:t>regulace, biochemických reakcí, spánku, vyšších nervových funkcí, jako je učení a</w:t>
      </w:r>
      <w:r>
        <w:t xml:space="preserve"> </w:t>
      </w:r>
      <w:r w:rsidRPr="00C74A41">
        <w:t>zapamatovávání, ovlivnění smyslově motorických funkcí a koordinace.</w:t>
      </w:r>
      <w:r>
        <w:t xml:space="preserve"> </w:t>
      </w:r>
      <w:r w:rsidRPr="00C74A41">
        <w:t>V komplexní podobě se mohou manifestovat ve formě poruch emocionální rovnováhy,</w:t>
      </w:r>
      <w:r>
        <w:t xml:space="preserve"> </w:t>
      </w:r>
      <w:r w:rsidRPr="00C74A41">
        <w:t>sociálních interakcí i ve formě nemocí, u nichž působení hluku může přispět ke spuštění nebo</w:t>
      </w:r>
      <w:r>
        <w:t xml:space="preserve"> </w:t>
      </w:r>
      <w:r w:rsidRPr="00C74A41">
        <w:t>urychlení vlastního patogenetického děje.</w:t>
      </w:r>
    </w:p>
    <w:p w14:paraId="10D1699A" w14:textId="77777777" w:rsidR="00391D60" w:rsidRPr="00C74A41" w:rsidRDefault="00391D60" w:rsidP="00391D60">
      <w:pPr>
        <w:autoSpaceDE w:val="0"/>
        <w:autoSpaceDN w:val="0"/>
        <w:adjustRightInd w:val="0"/>
        <w:spacing w:before="120"/>
        <w:jc w:val="both"/>
      </w:pPr>
      <w:r w:rsidRPr="00C74A41">
        <w:t>Za dostatečně prokázané nepříznivé zdravotní účinky hluku je v současnosti považováno</w:t>
      </w:r>
      <w:r>
        <w:t xml:space="preserve"> </w:t>
      </w:r>
      <w:r w:rsidRPr="00C74A41">
        <w:t>poškození sluchového aparátu, vliv na kardiovaskulární systém, rušení spánku a nepříznivé</w:t>
      </w:r>
      <w:r>
        <w:t xml:space="preserve"> </w:t>
      </w:r>
      <w:r w:rsidRPr="00C74A41">
        <w:t>ovlivnění osvojování řeči a čtení u dětí. Omezené důkazy jsou např. u vlivů na hormonální a</w:t>
      </w:r>
      <w:r>
        <w:t xml:space="preserve"> </w:t>
      </w:r>
      <w:r w:rsidRPr="00C74A41">
        <w:t>imunitní systém, některé biochemické funkce, ovlivnění placenty a vývoje plodu, nebo u</w:t>
      </w:r>
      <w:r>
        <w:t xml:space="preserve"> v</w:t>
      </w:r>
      <w:r w:rsidRPr="00C74A41">
        <w:t>livů na mentální zdraví a výkonnost člověka.</w:t>
      </w:r>
    </w:p>
    <w:p w14:paraId="4CCCE275" w14:textId="77777777" w:rsidR="00391D60" w:rsidRPr="00C74A41" w:rsidRDefault="00391D60" w:rsidP="00391D60">
      <w:pPr>
        <w:autoSpaceDE w:val="0"/>
        <w:autoSpaceDN w:val="0"/>
        <w:adjustRightInd w:val="0"/>
        <w:spacing w:before="120"/>
        <w:jc w:val="both"/>
      </w:pPr>
      <w:r w:rsidRPr="00C74A41">
        <w:t>Působení hluku v životním prostředí je ovšem nutné posuzovat i z hlediska ztížené</w:t>
      </w:r>
      <w:r>
        <w:t xml:space="preserve"> </w:t>
      </w:r>
      <w:r w:rsidRPr="00C74A41">
        <w:t>komunikace řečí a zejména pak z hlediska obtěžování, pocitů nespokojenosti, rozmrzelosti a</w:t>
      </w:r>
      <w:r>
        <w:t xml:space="preserve"> </w:t>
      </w:r>
      <w:r w:rsidRPr="00C74A41">
        <w:t>nepříznivého ovlivnění pohody lidí. V tomto smyslu vychází hodnocení zdravotních rizik</w:t>
      </w:r>
      <w:r>
        <w:t xml:space="preserve"> </w:t>
      </w:r>
      <w:r w:rsidRPr="00C74A41">
        <w:t>hluku z definice zdraví WHO, kdy se za zdraví nepovažuje pouze nepřítomnost choroby,</w:t>
      </w:r>
      <w:r>
        <w:t xml:space="preserve"> </w:t>
      </w:r>
      <w:r w:rsidRPr="00C74A41">
        <w:t>nýbrž je chápáno v</w:t>
      </w:r>
      <w:r>
        <w:t> </w:t>
      </w:r>
      <w:r w:rsidRPr="00C74A41">
        <w:t>celém</w:t>
      </w:r>
      <w:r>
        <w:t xml:space="preserve"> </w:t>
      </w:r>
      <w:r w:rsidRPr="00C74A41">
        <w:t>kontextu souvisejících fyzických, psychických a sociálních aspektů.</w:t>
      </w:r>
      <w:r>
        <w:t xml:space="preserve"> </w:t>
      </w:r>
      <w:r w:rsidRPr="00C74A41">
        <w:t>WHO proto vychází při doporučení limitních hodnot hluku pro místa mimopracovního pobytu</w:t>
      </w:r>
      <w:r>
        <w:t xml:space="preserve"> </w:t>
      </w:r>
      <w:r w:rsidRPr="00C74A41">
        <w:t>lidí především ze současných poznatků o nepříznivém vlivu hluku na komunikaci řečí, pocity</w:t>
      </w:r>
      <w:r>
        <w:t xml:space="preserve"> </w:t>
      </w:r>
      <w:r w:rsidRPr="00C74A41">
        <w:t xml:space="preserve">nepohody a rozmrzelosti a rušení spánku v nočním </w:t>
      </w:r>
      <w:r>
        <w:t>době.</w:t>
      </w:r>
    </w:p>
    <w:p w14:paraId="6B186E1B" w14:textId="77777777" w:rsidR="00391D60" w:rsidRPr="00C74A41" w:rsidRDefault="00391D60" w:rsidP="00391D60">
      <w:pPr>
        <w:autoSpaceDE w:val="0"/>
        <w:autoSpaceDN w:val="0"/>
        <w:adjustRightInd w:val="0"/>
        <w:spacing w:before="120"/>
        <w:jc w:val="both"/>
      </w:pPr>
      <w:r w:rsidRPr="00C74A41">
        <w:t>Souhrnně lze podle zmíněného dokumentu WHO a dalších zdrojů současné poznatky o</w:t>
      </w:r>
      <w:r>
        <w:t xml:space="preserve"> </w:t>
      </w:r>
      <w:r w:rsidRPr="00C74A41">
        <w:t>nepříznivých účincích hluku na lidské zdraví a pohodu lidí stručně charakterizovat takto:</w:t>
      </w:r>
    </w:p>
    <w:p w14:paraId="2344E637" w14:textId="77777777" w:rsidR="00391D60" w:rsidRPr="00C74A41" w:rsidRDefault="00391D60" w:rsidP="00391D60">
      <w:pPr>
        <w:autoSpaceDE w:val="0"/>
        <w:autoSpaceDN w:val="0"/>
        <w:adjustRightInd w:val="0"/>
        <w:spacing w:before="120"/>
        <w:jc w:val="both"/>
      </w:pPr>
      <w:r w:rsidRPr="00C74A41">
        <w:rPr>
          <w:b/>
          <w:bCs/>
          <w:i/>
          <w:iCs/>
        </w:rPr>
        <w:t xml:space="preserve">Poškození sluchového aparátu </w:t>
      </w:r>
      <w:r w:rsidRPr="00C74A41">
        <w:t>je dostatečně prokázáno u pracovní expozice hluku</w:t>
      </w:r>
      <w:r>
        <w:t xml:space="preserve"> </w:t>
      </w:r>
      <w:r w:rsidRPr="00C74A41">
        <w:t>v závislosti na výši ekvivalentní hladiny hluku a trvání let expozice. Riziko sluchového</w:t>
      </w:r>
      <w:r>
        <w:t xml:space="preserve"> </w:t>
      </w:r>
      <w:r w:rsidRPr="00C74A41">
        <w:t>postižení však existuje i u hluku v mimopracovním prostředí při různých činnostech</w:t>
      </w:r>
      <w:r>
        <w:t xml:space="preserve"> </w:t>
      </w:r>
      <w:r w:rsidRPr="00C74A41">
        <w:t>spojených s vyšší hlukovou zátěží.</w:t>
      </w:r>
      <w:r>
        <w:t xml:space="preserve"> </w:t>
      </w:r>
      <w:r w:rsidRPr="00C74A41">
        <w:t>Z fyziologického hlediska jsou podstatou poškození zprvu přechodné a posléze trvalé funkční</w:t>
      </w:r>
      <w:r>
        <w:t xml:space="preserve"> </w:t>
      </w:r>
      <w:r w:rsidRPr="00C74A41">
        <w:t>a morfologické změny smyslových a nervových buněk Cortiho orgánu vnitřního ucha.</w:t>
      </w:r>
    </w:p>
    <w:p w14:paraId="25408EBE" w14:textId="77777777" w:rsidR="00391D60" w:rsidRPr="00C74A41" w:rsidRDefault="00391D60" w:rsidP="00391D60">
      <w:pPr>
        <w:autoSpaceDE w:val="0"/>
        <w:autoSpaceDN w:val="0"/>
        <w:adjustRightInd w:val="0"/>
        <w:jc w:val="both"/>
      </w:pPr>
      <w:r w:rsidRPr="00C74A41">
        <w:t>Epidemiologické studie prokázaly, že u více než 95 % exponované populace nedochází</w:t>
      </w:r>
      <w:r>
        <w:t xml:space="preserve"> </w:t>
      </w:r>
      <w:r w:rsidRPr="00C74A41">
        <w:t>k poškození sluchového aparátu ani při celoživotní expozici hluku v životním prostředí a</w:t>
      </w:r>
      <w:r>
        <w:t xml:space="preserve"> </w:t>
      </w:r>
      <w:r w:rsidRPr="00C74A41">
        <w:t>aktivitách ve volném čase do 24 hodinové ekvivalentní hladiny hluku L</w:t>
      </w:r>
      <w:r w:rsidRPr="00F469D0">
        <w:rPr>
          <w:vertAlign w:val="subscript"/>
        </w:rPr>
        <w:t>Aeq,24h</w:t>
      </w:r>
      <w:r w:rsidRPr="00C74A41">
        <w:t xml:space="preserve"> = 70 dB.</w:t>
      </w:r>
      <w:r>
        <w:t xml:space="preserve"> </w:t>
      </w:r>
      <w:r w:rsidRPr="00C74A41">
        <w:t>S vyšší expozicí hluku v mimopracovním prostředí se můžeme setkat jen ve velmi</w:t>
      </w:r>
      <w:r>
        <w:t xml:space="preserve"> </w:t>
      </w:r>
      <w:r w:rsidRPr="00C74A41">
        <w:t>specifických případech např. u lidí žijících v těsné blízkosti frekventovaného letiště nebo</w:t>
      </w:r>
      <w:r>
        <w:t xml:space="preserve"> </w:t>
      </w:r>
      <w:r w:rsidRPr="00C74A41">
        <w:t>velmi rušných komunikací.</w:t>
      </w:r>
    </w:p>
    <w:p w14:paraId="38B0E2CB" w14:textId="77777777" w:rsidR="00391D60" w:rsidRPr="00C74A41" w:rsidRDefault="00391D60" w:rsidP="00391D60">
      <w:pPr>
        <w:autoSpaceDE w:val="0"/>
        <w:autoSpaceDN w:val="0"/>
        <w:adjustRightInd w:val="0"/>
        <w:jc w:val="both"/>
      </w:pPr>
      <w:r w:rsidRPr="00C74A41">
        <w:t>Nelze však zcela vyloučit možnost, že by již při nižší úrovni hlukové expozice mohlo dojít k</w:t>
      </w:r>
      <w:r>
        <w:t xml:space="preserve"> </w:t>
      </w:r>
      <w:r w:rsidRPr="00C74A41">
        <w:t>malému sluchové poškození u citlivých skupin populace, jako jsou děti, nebo osoby současně</w:t>
      </w:r>
      <w:r>
        <w:t xml:space="preserve"> </w:t>
      </w:r>
      <w:r w:rsidRPr="00C74A41">
        <w:lastRenderedPageBreak/>
        <w:t>exponované i vibracím nebo ototoxickým lékům či chemikáliím. Je též známé, že zvýšená</w:t>
      </w:r>
      <w:r>
        <w:t xml:space="preserve"> </w:t>
      </w:r>
      <w:r w:rsidRPr="00C74A41">
        <w:t>hlučnost v místě bydliště přispívá k rozvoji sluchových poruch u osob profesionálně</w:t>
      </w:r>
      <w:r>
        <w:t xml:space="preserve"> </w:t>
      </w:r>
      <w:r w:rsidRPr="00C74A41">
        <w:t>exponovaným rizikových hladinám hluku na pracovišti. Nezanedbatelně může zvyšovat</w:t>
      </w:r>
      <w:r>
        <w:t xml:space="preserve"> </w:t>
      </w:r>
      <w:r w:rsidRPr="00C74A41">
        <w:t>expozici hlukem, zejména u mládeže, dlouhodobý poslech velmi hlasité reprodukované hudby</w:t>
      </w:r>
      <w:r>
        <w:t xml:space="preserve"> </w:t>
      </w:r>
      <w:r w:rsidRPr="00C74A41">
        <w:t>doma (sluchátka), účast na diskotékách, případně koncertech populárních hudebních skupin.</w:t>
      </w:r>
      <w:r>
        <w:t xml:space="preserve"> </w:t>
      </w:r>
    </w:p>
    <w:p w14:paraId="74F9626E" w14:textId="77777777" w:rsidR="00391D60" w:rsidRPr="00C74A41" w:rsidRDefault="00391D60" w:rsidP="00391D60">
      <w:pPr>
        <w:autoSpaceDE w:val="0"/>
        <w:autoSpaceDN w:val="0"/>
        <w:adjustRightInd w:val="0"/>
        <w:spacing w:before="120"/>
        <w:jc w:val="both"/>
      </w:pPr>
      <w:r w:rsidRPr="00C74A41">
        <w:rPr>
          <w:b/>
          <w:bCs/>
          <w:i/>
          <w:iCs/>
        </w:rPr>
        <w:t xml:space="preserve">Zhoršení komunikace řečí </w:t>
      </w:r>
      <w:r w:rsidRPr="00C74A41">
        <w:t>v důsledku zvýšené hladiny hluku má řadu prokázaných</w:t>
      </w:r>
      <w:r>
        <w:t xml:space="preserve"> </w:t>
      </w:r>
      <w:r w:rsidRPr="00C74A41">
        <w:t>nepříznivých důsledků v oblasti chování a vztahů, vede k podrážděnosti, nejistotě, poklesu</w:t>
      </w:r>
      <w:r>
        <w:t xml:space="preserve"> </w:t>
      </w:r>
      <w:r w:rsidRPr="00C74A41">
        <w:t>pracovní kapacity a pocitům nespokojenosti. Může však vést i k překrývání a maskování</w:t>
      </w:r>
      <w:r>
        <w:t xml:space="preserve"> </w:t>
      </w:r>
      <w:r w:rsidRPr="00C74A41">
        <w:t>důležitých signálů, jako je domovní zvonek, telefon, alarm. Nejvíce citlivou skupinou jsou</w:t>
      </w:r>
      <w:r>
        <w:t xml:space="preserve"> </w:t>
      </w:r>
      <w:r w:rsidRPr="00C74A41">
        <w:t>staří lidé, osoby se sluchovou ztrátou a zejména malé děti v období osvojování řeči. Jde tedy o</w:t>
      </w:r>
      <w:r>
        <w:t xml:space="preserve"> </w:t>
      </w:r>
      <w:r w:rsidRPr="00C74A41">
        <w:t>podstatnou část populace.</w:t>
      </w:r>
    </w:p>
    <w:p w14:paraId="1E420A41" w14:textId="77777777" w:rsidR="00391D60" w:rsidRPr="00C74A41" w:rsidRDefault="00391D60" w:rsidP="00391D60">
      <w:pPr>
        <w:autoSpaceDE w:val="0"/>
        <w:autoSpaceDN w:val="0"/>
        <w:adjustRightInd w:val="0"/>
        <w:jc w:val="both"/>
      </w:pPr>
      <w:r w:rsidRPr="00C74A41">
        <w:t>Pro dostatečně srozumitelné vnímání složitějších zpráv a informací (cizí řeč, výuka,</w:t>
      </w:r>
      <w:r>
        <w:t xml:space="preserve"> </w:t>
      </w:r>
      <w:r w:rsidRPr="00C74A41">
        <w:t>telefonická konverzace) by rozdíl mezi hlukovým pozadím a hlasitostí vnímané řeči měl být</w:t>
      </w:r>
      <w:r>
        <w:t xml:space="preserve"> </w:t>
      </w:r>
      <w:r w:rsidRPr="00C74A41">
        <w:t>nejméně 15 dB a to nejméně v 85 % doby. Při průměrné hlasitosti řeči 50 dB by tak nemělo</w:t>
      </w:r>
      <w:r>
        <w:t xml:space="preserve"> </w:t>
      </w:r>
      <w:r w:rsidRPr="00C74A41">
        <w:t>hlukové pozadí v místnostech převyšovat 35 dB.</w:t>
      </w:r>
    </w:p>
    <w:p w14:paraId="66900F7E" w14:textId="77777777" w:rsidR="00391D60" w:rsidRPr="00C74A41" w:rsidRDefault="00391D60" w:rsidP="00391D60">
      <w:pPr>
        <w:autoSpaceDE w:val="0"/>
        <w:autoSpaceDN w:val="0"/>
        <w:adjustRightInd w:val="0"/>
        <w:spacing w:before="120"/>
        <w:jc w:val="both"/>
      </w:pPr>
      <w:r w:rsidRPr="00C74A41">
        <w:rPr>
          <w:b/>
          <w:bCs/>
          <w:i/>
          <w:iCs/>
        </w:rPr>
        <w:t xml:space="preserve">Nepříznivé ovlivnění spánku </w:t>
      </w:r>
      <w:r w:rsidRPr="00C74A41">
        <w:t>se prokazatelně projevuje obtížemi při usínání, probouzením,</w:t>
      </w:r>
      <w:r>
        <w:t xml:space="preserve"> </w:t>
      </w:r>
      <w:r w:rsidRPr="00C74A41">
        <w:t>alterací délky a hloubky spánku, zejména redukcí REM fáze spánku. Může docházet ke</w:t>
      </w:r>
      <w:r>
        <w:t xml:space="preserve"> </w:t>
      </w:r>
      <w:r w:rsidRPr="00C74A41">
        <w:t>zvýšení krevního tlaku, zrychlení srdečního pulsu, arytmiím, vasokonstrikci, změnám</w:t>
      </w:r>
      <w:r>
        <w:t xml:space="preserve"> </w:t>
      </w:r>
      <w:r w:rsidRPr="00C74A41">
        <w:t>dýchání. V rušení spánku hlukem se setkávají jak fyziologické, tak psychologické aspekty</w:t>
      </w:r>
      <w:r>
        <w:t xml:space="preserve"> </w:t>
      </w:r>
      <w:r w:rsidRPr="00C74A41">
        <w:t>působení hluku. Efekt narušeného spánku se projevuje i následující den např. rozmrzelostí,</w:t>
      </w:r>
      <w:r>
        <w:t xml:space="preserve"> </w:t>
      </w:r>
      <w:r w:rsidRPr="00C74A41">
        <w:t>zhoršenou náladou, snížením výkonu, bolestmi hlavy nebo zvýšenou únavností. Objektivně</w:t>
      </w:r>
      <w:r>
        <w:t xml:space="preserve"> </w:t>
      </w:r>
      <w:r w:rsidRPr="00C74A41">
        <w:t>bylo prokázáno i zvýšení spotřeby sedativ a léků na spaní.</w:t>
      </w:r>
    </w:p>
    <w:p w14:paraId="3FAF313C" w14:textId="77777777" w:rsidR="00391D60" w:rsidRPr="00C74A41" w:rsidRDefault="00391D60" w:rsidP="00391D60">
      <w:pPr>
        <w:autoSpaceDE w:val="0"/>
        <w:autoSpaceDN w:val="0"/>
        <w:adjustRightInd w:val="0"/>
        <w:jc w:val="both"/>
      </w:pPr>
      <w:r w:rsidRPr="00C74A41">
        <w:t>Senzitivní skupinou populace jsou starší lidé, pracující na směny, lidé s funkčními a</w:t>
      </w:r>
      <w:r>
        <w:t xml:space="preserve"> </w:t>
      </w:r>
      <w:r w:rsidRPr="00C74A41">
        <w:t>mentálními poruchami, osoby s potížemi se spaním.</w:t>
      </w:r>
    </w:p>
    <w:p w14:paraId="3F00AA2E" w14:textId="77777777" w:rsidR="00391D60" w:rsidRPr="00C74A41" w:rsidRDefault="00391D60" w:rsidP="00391D60">
      <w:pPr>
        <w:autoSpaceDE w:val="0"/>
        <w:autoSpaceDN w:val="0"/>
        <w:adjustRightInd w:val="0"/>
        <w:jc w:val="both"/>
      </w:pPr>
      <w:r w:rsidRPr="00C74A41">
        <w:t>K narušení spánku vede jak ustálený, tak i proměnný hluk. Objektivní příznaky narušení</w:t>
      </w:r>
      <w:r>
        <w:t xml:space="preserve"> </w:t>
      </w:r>
      <w:r w:rsidRPr="00C74A41">
        <w:t>spánku při ustáleném hluku v interiéru se dle různých autorů začínají objevovat od</w:t>
      </w:r>
      <w:r>
        <w:t xml:space="preserve"> </w:t>
      </w:r>
      <w:r w:rsidRPr="00C74A41">
        <w:t>ekvivalentní hladiny hluku 27 – 30 dB. Subjektivní kvalita spánku nebyla zhoršena při</w:t>
      </w:r>
      <w:r>
        <w:t xml:space="preserve"> </w:t>
      </w:r>
      <w:r w:rsidRPr="00C74A41">
        <w:t>venkovním hluku pod ekvivalentní hladinu hluku pro noc 40 dB.</w:t>
      </w:r>
      <w:r>
        <w:t xml:space="preserve"> </w:t>
      </w:r>
      <w:r w:rsidRPr="00C74A41">
        <w:t>Při přerušovaném hluku roste rušivost spánku s maximální hladinou hluku. I při nízké</w:t>
      </w:r>
      <w:r>
        <w:t xml:space="preserve"> </w:t>
      </w:r>
      <w:r w:rsidRPr="00C74A41">
        <w:t>ekvivalentní hladině hluku již malý počet hlukových událostí s vyšší hladinou akustického</w:t>
      </w:r>
      <w:r>
        <w:t xml:space="preserve"> </w:t>
      </w:r>
      <w:r w:rsidRPr="00C74A41">
        <w:t>tlaku ovlivňuje spánek. Význam zřejmě má i rozdíl mezi hladinou akustického tlaku pozadí a</w:t>
      </w:r>
      <w:r>
        <w:t xml:space="preserve"> </w:t>
      </w:r>
      <w:r w:rsidRPr="00C74A41">
        <w:t>vlastní hlukové události a taktéž délka intervalu mezi dvěma hlukovými událostmi.</w:t>
      </w:r>
      <w:r>
        <w:t xml:space="preserve"> </w:t>
      </w:r>
      <w:r w:rsidRPr="00C74A41">
        <w:t>Nepříznivé ovlivnění nálady následující den bylo prokázáno při hodnotách hluku během</w:t>
      </w:r>
      <w:r>
        <w:t xml:space="preserve"> </w:t>
      </w:r>
      <w:r w:rsidRPr="00C74A41">
        <w:t>spánku vně budov již pod 60 dB a předpokládá se, že k ovlivnění dochází i z</w:t>
      </w:r>
      <w:r>
        <w:t> </w:t>
      </w:r>
      <w:r w:rsidRPr="00C74A41">
        <w:t>hlediska</w:t>
      </w:r>
      <w:r>
        <w:t xml:space="preserve"> </w:t>
      </w:r>
      <w:r w:rsidRPr="00C74A41">
        <w:t>výkonnosti.</w:t>
      </w:r>
    </w:p>
    <w:p w14:paraId="178D8952" w14:textId="77777777" w:rsidR="00391D60" w:rsidRPr="00C74A41" w:rsidRDefault="00391D60" w:rsidP="00391D60">
      <w:pPr>
        <w:autoSpaceDE w:val="0"/>
        <w:autoSpaceDN w:val="0"/>
        <w:adjustRightInd w:val="0"/>
        <w:jc w:val="both"/>
      </w:pPr>
      <w:r w:rsidRPr="00C74A41">
        <w:t>Podle doporučení WHO by noční ekvivalentní hladina hluku neměla v okolí domů přesáhnout</w:t>
      </w:r>
      <w:r>
        <w:t xml:space="preserve"> </w:t>
      </w:r>
      <w:r w:rsidRPr="00C74A41">
        <w:t>45 dB, přičemž se předpokládá pokles hladiny hluku o až 15 dB při přenosu venkovního</w:t>
      </w:r>
      <w:r>
        <w:t xml:space="preserve"> </w:t>
      </w:r>
      <w:r w:rsidRPr="00C74A41">
        <w:t>hluku do místnosti zčásti otevřeným oknem.</w:t>
      </w:r>
      <w:r>
        <w:t xml:space="preserve"> </w:t>
      </w:r>
      <w:r w:rsidRPr="00C74A41">
        <w:t>Maximální hodnoty jednotlivých hlukových událostí by pak neměly uvnitř místností</w:t>
      </w:r>
      <w:r>
        <w:t xml:space="preserve"> </w:t>
      </w:r>
      <w:r w:rsidRPr="00C74A41">
        <w:t>přesáhnout L</w:t>
      </w:r>
      <w:r w:rsidRPr="00F469D0">
        <w:rPr>
          <w:vertAlign w:val="subscript"/>
        </w:rPr>
        <w:t>Amax</w:t>
      </w:r>
      <w:r w:rsidRPr="00C74A41">
        <w:t xml:space="preserve"> = 45 dB, resp. 60 dB venku a počet těchto událostí by během noci neměl</w:t>
      </w:r>
      <w:r>
        <w:t xml:space="preserve"> </w:t>
      </w:r>
      <w:r w:rsidRPr="00C74A41">
        <w:t>přesáhnout 10-15 ze všech zdrojů hluku. Pro senzitivní osoby by pak tyto hodnoty hluku</w:t>
      </w:r>
      <w:r>
        <w:t xml:space="preserve"> </w:t>
      </w:r>
      <w:r w:rsidRPr="00C74A41">
        <w:t>měly být ještě nižší. Na rušení spánku hlukem nedochází v hlučných lokalitách k</w:t>
      </w:r>
      <w:r>
        <w:t> </w:t>
      </w:r>
      <w:r w:rsidRPr="00C74A41">
        <w:t>adaptaci</w:t>
      </w:r>
      <w:r>
        <w:t xml:space="preserve"> </w:t>
      </w:r>
      <w:r w:rsidRPr="00C74A41">
        <w:t>obyvatel ani po více letech.</w:t>
      </w:r>
    </w:p>
    <w:p w14:paraId="2BD9C3C4" w14:textId="77777777" w:rsidR="00391D60" w:rsidRPr="00C74A41" w:rsidRDefault="00391D60" w:rsidP="00391D60">
      <w:pPr>
        <w:autoSpaceDE w:val="0"/>
        <w:autoSpaceDN w:val="0"/>
        <w:adjustRightInd w:val="0"/>
        <w:spacing w:before="120"/>
        <w:jc w:val="both"/>
      </w:pPr>
      <w:r w:rsidRPr="00C74A41">
        <w:rPr>
          <w:b/>
          <w:bCs/>
          <w:i/>
          <w:iCs/>
        </w:rPr>
        <w:t xml:space="preserve">Ovlivnění kardiovaskulárního systému a psychofyziologické účinky hluku </w:t>
      </w:r>
      <w:r w:rsidRPr="00C74A41">
        <w:t>byly dle WHO</w:t>
      </w:r>
      <w:r>
        <w:t xml:space="preserve"> </w:t>
      </w:r>
      <w:r w:rsidRPr="00C74A41">
        <w:t>prokázány v řadě epidemiologických a klinických studií u populace (včetně dětí) žijící</w:t>
      </w:r>
      <w:r>
        <w:t xml:space="preserve"> </w:t>
      </w:r>
      <w:r w:rsidRPr="00C74A41">
        <w:t>v hlučných oblastech kolem letišť, průmyslových závodů nebo hlučných komunikací.</w:t>
      </w:r>
    </w:p>
    <w:p w14:paraId="5C37F9C9" w14:textId="77777777" w:rsidR="00391D60" w:rsidRPr="00C74A41" w:rsidRDefault="00391D60" w:rsidP="00391D60">
      <w:pPr>
        <w:autoSpaceDE w:val="0"/>
        <w:autoSpaceDN w:val="0"/>
        <w:adjustRightInd w:val="0"/>
        <w:jc w:val="both"/>
      </w:pPr>
      <w:r w:rsidRPr="00C74A41">
        <w:t>Akutní hluková expozice aktivuje autonomní a hormonální systém a vede k</w:t>
      </w:r>
      <w:r>
        <w:t> </w:t>
      </w:r>
      <w:r w:rsidRPr="00C74A41">
        <w:t>přechodným</w:t>
      </w:r>
      <w:r>
        <w:t xml:space="preserve"> </w:t>
      </w:r>
      <w:r w:rsidRPr="00C74A41">
        <w:t>změnám, jako je zvýšení krevního tlaku, tepu a vasokonstrikce. Po dlouhodobé expozici se u</w:t>
      </w:r>
      <w:r>
        <w:t xml:space="preserve"> </w:t>
      </w:r>
      <w:r w:rsidRPr="00C74A41">
        <w:t>citlivých jedinců z exponované populace mohou vyvinout trvalé účinky, jako je hypertenze a</w:t>
      </w:r>
      <w:r>
        <w:t xml:space="preserve"> </w:t>
      </w:r>
      <w:r w:rsidRPr="00C74A41">
        <w:lastRenderedPageBreak/>
        <w:t>ischemická choroba srdeční (nedosta</w:t>
      </w:r>
      <w:r>
        <w:t>tečné prokrvení srdečního svalu</w:t>
      </w:r>
      <w:r w:rsidRPr="00C74A41">
        <w:t xml:space="preserve"> projevující se klinicky</w:t>
      </w:r>
      <w:r>
        <w:t xml:space="preserve"> </w:t>
      </w:r>
      <w:r w:rsidRPr="00C74A41">
        <w:t>jako angina pectoris až infarkt myokardu).</w:t>
      </w:r>
    </w:p>
    <w:p w14:paraId="6A768E13" w14:textId="77777777" w:rsidR="00391D60" w:rsidRPr="00C74A41" w:rsidRDefault="00391D60" w:rsidP="00391D60">
      <w:pPr>
        <w:autoSpaceDE w:val="0"/>
        <w:autoSpaceDN w:val="0"/>
        <w:adjustRightInd w:val="0"/>
        <w:jc w:val="both"/>
      </w:pPr>
      <w:r w:rsidRPr="00C74A41">
        <w:t>V případě hypertenze je významná teorie, podle které se zde současně uplatňuje i nedostatek</w:t>
      </w:r>
      <w:r>
        <w:t xml:space="preserve"> </w:t>
      </w:r>
      <w:r w:rsidRPr="00C74A41">
        <w:t>hořčíku, který je vlivem hluku uvolňován z buněk a vylučován z organismu a není u evropské</w:t>
      </w:r>
      <w:r>
        <w:t xml:space="preserve"> </w:t>
      </w:r>
      <w:r w:rsidRPr="00C74A41">
        <w:t>populace dostatečně saturován příjmem z potravy. Deficit hladiny hořčíku v krvi může</w:t>
      </w:r>
      <w:r>
        <w:t xml:space="preserve"> </w:t>
      </w:r>
      <w:r w:rsidRPr="00C74A41">
        <w:t>přispívat k vasokonstrikci a nedostatečnému prokrvení s následnou hypertenzí a srdeční</w:t>
      </w:r>
      <w:r>
        <w:t xml:space="preserve"> </w:t>
      </w:r>
      <w:r w:rsidRPr="00C74A41">
        <w:t>ischemií.</w:t>
      </w:r>
    </w:p>
    <w:p w14:paraId="61356AFB" w14:textId="77777777" w:rsidR="00391D60" w:rsidRDefault="00391D60" w:rsidP="00391D60">
      <w:pPr>
        <w:autoSpaceDE w:val="0"/>
        <w:autoSpaceDN w:val="0"/>
        <w:adjustRightInd w:val="0"/>
        <w:jc w:val="both"/>
      </w:pPr>
      <w:r w:rsidRPr="00C74A41">
        <w:t>Všeobecným závěrem WHO je, že kardiovaskulární účinky jsou spojeny s</w:t>
      </w:r>
      <w:r>
        <w:t> </w:t>
      </w:r>
      <w:r w:rsidRPr="00C74A41">
        <w:t>dlouhodobou</w:t>
      </w:r>
      <w:r>
        <w:t xml:space="preserve"> </w:t>
      </w:r>
      <w:r w:rsidRPr="00C74A41">
        <w:t>expozicí ekvivalentní hladině hluku L</w:t>
      </w:r>
      <w:r w:rsidRPr="00F469D0">
        <w:rPr>
          <w:vertAlign w:val="subscript"/>
        </w:rPr>
        <w:t>Aeq,24h</w:t>
      </w:r>
      <w:r w:rsidRPr="00C74A41">
        <w:t xml:space="preserve"> v rozmezí</w:t>
      </w:r>
      <w:r>
        <w:t xml:space="preserve"> 65 – 70 dB a více, pokud jde o </w:t>
      </w:r>
      <w:r w:rsidRPr="00C74A41">
        <w:t>letecký</w:t>
      </w:r>
      <w:r>
        <w:t xml:space="preserve"> </w:t>
      </w:r>
      <w:r w:rsidRPr="00C74A41">
        <w:t xml:space="preserve">nebo dopravní hluk. Avšak tato asociace je </w:t>
      </w:r>
      <w:r>
        <w:t>slabá a je poněkud silnější pro </w:t>
      </w:r>
      <w:r w:rsidRPr="00C74A41">
        <w:t>ischemickou</w:t>
      </w:r>
      <w:r>
        <w:t xml:space="preserve"> </w:t>
      </w:r>
      <w:r w:rsidRPr="00C74A41">
        <w:t>chorobu srdeční (dále ICHS) než pro hypertenzi. Nicméně i toto malé riziko je potencionálně</w:t>
      </w:r>
      <w:r>
        <w:t xml:space="preserve"> </w:t>
      </w:r>
      <w:r w:rsidRPr="00C74A41">
        <w:t>závažné vzhledem k velkému počtu takto exponovaných osob.</w:t>
      </w:r>
      <w:r>
        <w:t xml:space="preserve"> </w:t>
      </w:r>
    </w:p>
    <w:p w14:paraId="59561798" w14:textId="77777777" w:rsidR="00391D60" w:rsidRDefault="00391D60" w:rsidP="00391D60">
      <w:pPr>
        <w:autoSpaceDE w:val="0"/>
        <w:autoSpaceDN w:val="0"/>
        <w:adjustRightInd w:val="0"/>
        <w:jc w:val="both"/>
      </w:pPr>
      <w:r w:rsidRPr="006467D5">
        <w:t xml:space="preserve">Studie HYENA prokázala významný vztah mezi expozicí a odezvou mezi hodnotami hlukového deskriptoru </w:t>
      </w:r>
      <w:r w:rsidRPr="004A6598">
        <w:rPr>
          <w:iCs/>
        </w:rPr>
        <w:t>L</w:t>
      </w:r>
      <w:r w:rsidRPr="006467D5">
        <w:rPr>
          <w:vertAlign w:val="subscript"/>
        </w:rPr>
        <w:t xml:space="preserve">Aeq,8h </w:t>
      </w:r>
      <w:r w:rsidRPr="006467D5">
        <w:t xml:space="preserve">pro letecký hluk, průměrnou expozicí silničního hluku vyjádřenou hlukovým deskriptorem </w:t>
      </w:r>
      <w:r w:rsidRPr="004A6598">
        <w:rPr>
          <w:iCs/>
        </w:rPr>
        <w:t>L</w:t>
      </w:r>
      <w:r w:rsidRPr="006467D5">
        <w:rPr>
          <w:vertAlign w:val="subscript"/>
        </w:rPr>
        <w:t xml:space="preserve">Aeq,16h </w:t>
      </w:r>
      <w:r w:rsidRPr="006467D5">
        <w:t>a rizikem hypertenze. HYENA je první studie, která zkoumá dopad hluku ze silniční a letecké dopravy na krevní tlak exponovaných obyvatel v blízkosti velkých letišť. Efekty hlukové expozice na následně měřením zjištěné zvýšení krevního tlaku byly jasně prokázány. Hluk zde funguje jako stresor, který vyvolá akutní zvýšení krevního tlaku během několika sekund až minut. Hypertenze je tedy důležitý, nezávislý faktor pro infarkt myokardu a mrtvici a zvýšené riziko výskytu hypertenze může tedy přispívat k zátěži kardiovaskulárními chorobami v exponované populaci</w:t>
      </w:r>
      <w:r w:rsidRPr="004A6598">
        <w:t xml:space="preserve">. </w:t>
      </w:r>
      <w:r w:rsidRPr="00C74A41">
        <w:t>Této úrovni relativního rizika odpovídají i výsledky statistického vyhodnocení výsledků</w:t>
      </w:r>
      <w:r>
        <w:t xml:space="preserve"> </w:t>
      </w:r>
      <w:r w:rsidRPr="00C74A41">
        <w:t>Systému monitorování zdravotního stavu obyvatel ve vztahu k životnímu prostředí v ČR,</w:t>
      </w:r>
      <w:r>
        <w:t xml:space="preserve"> </w:t>
      </w:r>
      <w:r w:rsidRPr="00C74A41">
        <w:t>jehož subsystém 3 je věnován hodnocení úrovně hlukové zátěže dopravnímu hluku ve</w:t>
      </w:r>
      <w:r>
        <w:t> </w:t>
      </w:r>
      <w:r w:rsidRPr="00C74A41">
        <w:t>městech a účinkům této hlukové expozice na zdravotní stav obyvatel. Vyplývá z nich, že lidé</w:t>
      </w:r>
      <w:r>
        <w:t xml:space="preserve"> </w:t>
      </w:r>
      <w:r w:rsidRPr="00C74A41">
        <w:t>žijící minimálně 5 let v lokalitách s noční ekvivalen</w:t>
      </w:r>
      <w:r>
        <w:t>tní hladinou hluku vyšší než 62 </w:t>
      </w:r>
      <w:r w:rsidRPr="00C74A41">
        <w:t>dB mají i</w:t>
      </w:r>
      <w:r>
        <w:t xml:space="preserve"> </w:t>
      </w:r>
      <w:r w:rsidRPr="00C74A41">
        <w:t>po zohlednění možných interferujících faktorů 1,2 x vyšší šanci (odds ratio) onemocnět</w:t>
      </w:r>
      <w:r>
        <w:t xml:space="preserve"> </w:t>
      </w:r>
      <w:r w:rsidRPr="00C74A41">
        <w:t>hypertenzí a 1,4 x vyšší šanci onemocnět infarktem myokardu. Statisticky významný vztah se</w:t>
      </w:r>
      <w:r>
        <w:t xml:space="preserve"> </w:t>
      </w:r>
      <w:r w:rsidRPr="00C74A41">
        <w:t>projevil mezi výskytem hypertenze a hlučností v místě bydliště a to od L</w:t>
      </w:r>
      <w:r w:rsidRPr="00F469D0">
        <w:rPr>
          <w:vertAlign w:val="subscript"/>
        </w:rPr>
        <w:t>Aeq</w:t>
      </w:r>
      <w:r w:rsidRPr="00C74A41">
        <w:t xml:space="preserve"> 45 dB v noci.</w:t>
      </w:r>
    </w:p>
    <w:p w14:paraId="56D3F816" w14:textId="77777777" w:rsidR="00391D60" w:rsidRDefault="00391D60" w:rsidP="00391D60">
      <w:pPr>
        <w:pStyle w:val="Normlnprvn"/>
        <w:spacing w:before="0"/>
        <w:jc w:val="both"/>
      </w:pPr>
      <w:r>
        <w:t xml:space="preserve">Podle zprávy uveřejněné v roce 2014 v </w:t>
      </w:r>
      <w:r>
        <w:rPr>
          <w:color w:val="000000"/>
          <w:sz w:val="23"/>
          <w:szCs w:val="23"/>
        </w:rPr>
        <w:t>European Heart Journal</w:t>
      </w:r>
      <w:r>
        <w:t xml:space="preserve"> bylo z kohortových studií zjištěno, že zvýšení rizika kardiovaskulárních onemocnění začíná již v pásmu mezi 55 a 60 dB pro hladiny hluku L</w:t>
      </w:r>
      <w:r>
        <w:rPr>
          <w:vertAlign w:val="subscript"/>
        </w:rPr>
        <w:t>dn</w:t>
      </w:r>
      <w:r>
        <w:t xml:space="preserve"> (denní a noční doba). Uvádí se, že zvýšení expozice hluku ze silniční dopravy v obytných čtvrtích, resp. hladina hluku L</w:t>
      </w:r>
      <w:r>
        <w:rPr>
          <w:vertAlign w:val="subscript"/>
        </w:rPr>
        <w:t>den</w:t>
      </w:r>
      <w:r>
        <w:t xml:space="preserve"> zvýšená o 10 dB zvyšuje riziko mozkové mrtvice u osob starších 64,5 let (incidence OR = 1,27). Z výše uvedeného vyplývá, že expozice hluku ze silniční dopravy v pásmu mezi 55 a 60 dB může, pro velkou část populace, přispívat ke zhoršení kardiovaskulárních onemocnění.</w:t>
      </w:r>
    </w:p>
    <w:p w14:paraId="1CE143FA" w14:textId="77777777" w:rsidR="00391D60" w:rsidRDefault="00391D60" w:rsidP="00391D60">
      <w:pPr>
        <w:autoSpaceDE w:val="0"/>
        <w:autoSpaceDN w:val="0"/>
        <w:adjustRightInd w:val="0"/>
        <w:jc w:val="both"/>
      </w:pPr>
      <w:r w:rsidRPr="00C74A41">
        <w:t xml:space="preserve">Při interpretaci těchto závěrů je nezbytné mít na </w:t>
      </w:r>
      <w:r>
        <w:t>paměti, že hluk je s ohledem na </w:t>
      </w:r>
      <w:r w:rsidRPr="00C74A41">
        <w:t>individuální</w:t>
      </w:r>
      <w:r>
        <w:t xml:space="preserve"> </w:t>
      </w:r>
      <w:r w:rsidRPr="00C74A41">
        <w:t>rozdíly v citlivosti v podstatě bezprahová noxa. U citlivých podskupin a jednotlivců je proto</w:t>
      </w:r>
      <w:r>
        <w:t xml:space="preserve"> </w:t>
      </w:r>
      <w:r w:rsidRPr="00C74A41">
        <w:t>nutné nepříznivé účinky předpokládat i při hladinách venkovního hluku významně nižších,</w:t>
      </w:r>
      <w:r>
        <w:t xml:space="preserve"> </w:t>
      </w:r>
      <w:r w:rsidRPr="00C74A41">
        <w:t>nežli jsou úrovně expozice hodnocené z hlediska statistické významnosti pro celou populaci.</w:t>
      </w:r>
      <w:r>
        <w:t xml:space="preserve"> </w:t>
      </w:r>
      <w:r w:rsidRPr="004A6598">
        <w:t xml:space="preserve">Obecně se přijímá, že hluk může mít určující vliv na zdraví, jestliže </w:t>
      </w:r>
      <w:r w:rsidRPr="001936E3">
        <w:rPr>
          <w:iCs/>
        </w:rPr>
        <w:t>L</w:t>
      </w:r>
      <w:r w:rsidRPr="001936E3">
        <w:rPr>
          <w:vertAlign w:val="subscript"/>
        </w:rPr>
        <w:t xml:space="preserve">Aeq,16 h </w:t>
      </w:r>
      <w:r w:rsidRPr="004A6598">
        <w:t>&gt; 60 dB. Jako riziková skupina jsou označováni muži</w:t>
      </w:r>
      <w:r>
        <w:t xml:space="preserve"> středního věku</w:t>
      </w:r>
      <w:r w:rsidRPr="004A6598">
        <w:t>.</w:t>
      </w:r>
    </w:p>
    <w:p w14:paraId="08F99B73" w14:textId="77777777" w:rsidR="00391D60" w:rsidRPr="00C74A41" w:rsidRDefault="00391D60" w:rsidP="00391D60">
      <w:pPr>
        <w:autoSpaceDE w:val="0"/>
        <w:autoSpaceDN w:val="0"/>
        <w:adjustRightInd w:val="0"/>
        <w:spacing w:before="120"/>
        <w:jc w:val="both"/>
      </w:pPr>
      <w:r w:rsidRPr="00C74A41">
        <w:t>Pozorování mnoha účinků hlukové expozice, jako jsou již zmíněné změny v</w:t>
      </w:r>
      <w:r>
        <w:t> </w:t>
      </w:r>
      <w:r w:rsidRPr="00C74A41">
        <w:t>hladině</w:t>
      </w:r>
      <w:r>
        <w:t xml:space="preserve"> </w:t>
      </w:r>
      <w:r w:rsidRPr="00C74A41">
        <w:t>stresových hormonů, vliv na funkci imunitního systému a následně zvýšená frekvence</w:t>
      </w:r>
      <w:r>
        <w:t xml:space="preserve"> </w:t>
      </w:r>
      <w:r w:rsidRPr="00C74A41">
        <w:t>infekcí, nebo snížená porodní váha novorozenců u matek exponovaných vysoké hladině hluku</w:t>
      </w:r>
      <w:r>
        <w:t xml:space="preserve"> </w:t>
      </w:r>
      <w:r w:rsidRPr="00C74A41">
        <w:t>v době těhotenství, nejsou natolik průkazná a konzistentní, aby mohla sloužit k</w:t>
      </w:r>
      <w:r>
        <w:t> </w:t>
      </w:r>
      <w:r w:rsidRPr="00C74A41">
        <w:t>hodnocení</w:t>
      </w:r>
      <w:r>
        <w:t xml:space="preserve"> </w:t>
      </w:r>
      <w:r w:rsidRPr="00C74A41">
        <w:t>zdravotních účinků hluku.</w:t>
      </w:r>
      <w:r>
        <w:t xml:space="preserve"> </w:t>
      </w:r>
      <w:r w:rsidRPr="00C74A41">
        <w:t xml:space="preserve">Podobně nejsou jednoznačné ani výsledky studií zaměřených na </w:t>
      </w:r>
      <w:r w:rsidRPr="00C74A41">
        <w:rPr>
          <w:b/>
          <w:bCs/>
          <w:i/>
          <w:iCs/>
        </w:rPr>
        <w:t>vztah hlukové expozice a</w:t>
      </w:r>
      <w:r>
        <w:rPr>
          <w:b/>
          <w:bCs/>
          <w:i/>
          <w:iCs/>
        </w:rPr>
        <w:t xml:space="preserve"> </w:t>
      </w:r>
      <w:r w:rsidRPr="00C74A41">
        <w:rPr>
          <w:b/>
          <w:bCs/>
          <w:i/>
          <w:iCs/>
        </w:rPr>
        <w:t>projevů poruch duševního zdraví</w:t>
      </w:r>
      <w:r w:rsidRPr="00C74A41">
        <w:t xml:space="preserve">. Nepředpokládá se, že by hluk mohl být přímou </w:t>
      </w:r>
      <w:r w:rsidRPr="00C74A41">
        <w:lastRenderedPageBreak/>
        <w:t>příčinou</w:t>
      </w:r>
      <w:r>
        <w:t xml:space="preserve"> </w:t>
      </w:r>
      <w:r w:rsidRPr="00C74A41">
        <w:t>duševních nemocí, ale patrně se může podílet na zhoršení jejich symptomů nebo urychlit</w:t>
      </w:r>
      <w:r>
        <w:t xml:space="preserve"> </w:t>
      </w:r>
      <w:r w:rsidRPr="00C74A41">
        <w:t>rozvoj latentních duševních poruch.</w:t>
      </w:r>
      <w:r>
        <w:t xml:space="preserve"> </w:t>
      </w:r>
      <w:r w:rsidRPr="00C74A41">
        <w:t>Vztah mezi pocity obtěžování hlukem, individuální citlivostí vůči působení hluku a</w:t>
      </w:r>
      <w:r>
        <w:t xml:space="preserve"> </w:t>
      </w:r>
      <w:r w:rsidRPr="00C74A41">
        <w:t>nemocností na duševní choroby je komplexní a dosud nepříliš objasněný. Zvýšená citlivost</w:t>
      </w:r>
      <w:r>
        <w:t xml:space="preserve"> </w:t>
      </w:r>
      <w:r w:rsidRPr="00C74A41">
        <w:t>vůči rušivým účinkům hluku může být indikátorem subklinické duševní poruchy. Za indikátor</w:t>
      </w:r>
      <w:r>
        <w:t xml:space="preserve"> </w:t>
      </w:r>
      <w:r w:rsidRPr="00C74A41">
        <w:t>latentních duševních poruch nebo onemocnění u populace exponované hluku je považována</w:t>
      </w:r>
      <w:r>
        <w:t xml:space="preserve"> </w:t>
      </w:r>
      <w:r w:rsidRPr="00C74A41">
        <w:t>spotřeba sedativ a prášků na spaní.</w:t>
      </w:r>
    </w:p>
    <w:p w14:paraId="6ACD4525" w14:textId="77777777" w:rsidR="00391D60" w:rsidRDefault="00391D60" w:rsidP="00391D60">
      <w:pPr>
        <w:autoSpaceDE w:val="0"/>
        <w:autoSpaceDN w:val="0"/>
        <w:adjustRightInd w:val="0"/>
        <w:spacing w:before="120"/>
        <w:jc w:val="both"/>
      </w:pPr>
      <w:r w:rsidRPr="00C74A41">
        <w:rPr>
          <w:b/>
          <w:bCs/>
          <w:i/>
          <w:iCs/>
        </w:rPr>
        <w:t xml:space="preserve">Nepříznivé ovlivnění výkonnosti hlukem </w:t>
      </w:r>
      <w:r w:rsidRPr="00C74A41">
        <w:t>bylo zatím sledováno převážně v</w:t>
      </w:r>
      <w:r>
        <w:t> </w:t>
      </w:r>
      <w:r w:rsidRPr="00C74A41">
        <w:t>laboratorních</w:t>
      </w:r>
      <w:r>
        <w:t xml:space="preserve"> </w:t>
      </w:r>
      <w:r w:rsidRPr="00C74A41">
        <w:t>podmínkách u dobrovolníků. Zvláště citlivá na působení zvýšené hlučnosti je tvůrčí duševní</w:t>
      </w:r>
      <w:r>
        <w:t xml:space="preserve"> </w:t>
      </w:r>
      <w:r w:rsidRPr="00C74A41">
        <w:t>práce a plnění úkolů spojených s nároky na paměť, soustředěnou a trvalou pozornost a</w:t>
      </w:r>
      <w:r>
        <w:t xml:space="preserve"> </w:t>
      </w:r>
      <w:r w:rsidRPr="00C74A41">
        <w:t>komplikované analýzy. Rušivý účinek hluku je významný zejména při činnostech náročných</w:t>
      </w:r>
      <w:r>
        <w:t xml:space="preserve"> </w:t>
      </w:r>
      <w:r w:rsidRPr="00C74A41">
        <w:t xml:space="preserve">na pracovní paměť, kdy je </w:t>
      </w:r>
      <w:r>
        <w:t>třeba udržovat část informací v </w:t>
      </w:r>
      <w:r w:rsidRPr="00C74A41">
        <w:t>krátkodobé paměti, jako jsou</w:t>
      </w:r>
      <w:r>
        <w:t xml:space="preserve"> </w:t>
      </w:r>
      <w:r w:rsidRPr="00C74A41">
        <w:t>matematické operace a čtení.</w:t>
      </w:r>
      <w:r>
        <w:t xml:space="preserve"> </w:t>
      </w:r>
      <w:r w:rsidRPr="00C74A41">
        <w:t>Ve školách v okolí letišť byla u dětí chronicky exponovaných leteckému hluku</w:t>
      </w:r>
      <w:r>
        <w:t xml:space="preserve"> </w:t>
      </w:r>
      <w:r w:rsidRPr="00C74A41">
        <w:t>při ekvivalentní hladině hluku nad 70 dB měřené vně školy pozorována snížená schopnost</w:t>
      </w:r>
      <w:r>
        <w:t xml:space="preserve"> </w:t>
      </w:r>
      <w:r w:rsidRPr="00C74A41">
        <w:t xml:space="preserve">motivace, nižší výkonnost při poznávacích úlohách a deficit v osvojení čtení a jazyka. </w:t>
      </w:r>
    </w:p>
    <w:p w14:paraId="5FE28963" w14:textId="77777777" w:rsidR="00391D60" w:rsidRPr="00C74A41" w:rsidRDefault="00391D60" w:rsidP="00391D60">
      <w:pPr>
        <w:autoSpaceDE w:val="0"/>
        <w:autoSpaceDN w:val="0"/>
        <w:adjustRightInd w:val="0"/>
        <w:spacing w:before="120"/>
        <w:jc w:val="both"/>
      </w:pPr>
      <w:r w:rsidRPr="00C74A41">
        <w:rPr>
          <w:b/>
          <w:bCs/>
          <w:i/>
          <w:iCs/>
        </w:rPr>
        <w:t xml:space="preserve">Obtěžování hlukem </w:t>
      </w:r>
      <w:r w:rsidRPr="00C74A41">
        <w:t>je nejobecnější reakcí lidí na hlukovou zátěž. Uplatňuje se zde jak</w:t>
      </w:r>
      <w:r>
        <w:t xml:space="preserve"> </w:t>
      </w:r>
      <w:r w:rsidRPr="00C74A41">
        <w:t>emoční složka vnímání, tak složka poznávací při rušení hlukem při různých činnostech.</w:t>
      </w:r>
      <w:r>
        <w:t xml:space="preserve"> </w:t>
      </w:r>
      <w:r w:rsidRPr="00C74A41">
        <w:t>Vyvolává celou řadu negativních emočních stavů, mezi které patří pocity rozmrzelosti,</w:t>
      </w:r>
      <w:r>
        <w:t xml:space="preserve"> </w:t>
      </w:r>
      <w:r w:rsidRPr="00C74A41">
        <w:t>nespokojenosti a špatné nálady, deprese, obavy, pocity beznaděje nebo vyčerpání.</w:t>
      </w:r>
      <w:r>
        <w:t xml:space="preserve"> U </w:t>
      </w:r>
      <w:r w:rsidRPr="00C74A41">
        <w:t>každého člověka existuje určitý stupeň citlivosti, respektive tolerance k rušivému účinku</w:t>
      </w:r>
      <w:r>
        <w:t xml:space="preserve"> </w:t>
      </w:r>
      <w:r w:rsidRPr="00C74A41">
        <w:t>hluku, jako významně osobnostně fixovaná vlastnost. V normální populaci je 10-20 % vysoce</w:t>
      </w:r>
      <w:r>
        <w:t xml:space="preserve"> </w:t>
      </w:r>
      <w:r w:rsidRPr="00C74A41">
        <w:t>senzitivních osob, stejně jako velmi tolera</w:t>
      </w:r>
      <w:r>
        <w:t>ntních, zatímco u zbylých 60-80 </w:t>
      </w:r>
      <w:r w:rsidRPr="00C74A41">
        <w:t>% populace</w:t>
      </w:r>
      <w:r>
        <w:t xml:space="preserve"> </w:t>
      </w:r>
      <w:r w:rsidRPr="00C74A41">
        <w:t>víceméně platí kontinuální závislost míry obtěžování na intenzitě hlukové zátěže.</w:t>
      </w:r>
      <w:r>
        <w:t xml:space="preserve"> </w:t>
      </w:r>
      <w:r w:rsidRPr="00C74A41">
        <w:t>Při působení hluku zde však kromě senzitivity a fyzikálních vlastností hluku velmi záleží i na</w:t>
      </w:r>
      <w:r>
        <w:t xml:space="preserve"> </w:t>
      </w:r>
      <w:r w:rsidRPr="00C74A41">
        <w:t>řadě dalších neakustických faktorů sociální, psychologické nebo ekonomické povahy. To</w:t>
      </w:r>
      <w:r>
        <w:t xml:space="preserve"> </w:t>
      </w:r>
      <w:r w:rsidRPr="00C74A41">
        <w:t>vede k různým výsledkům studií, které prokazují u stejných hladin hluku různého původu</w:t>
      </w:r>
      <w:r>
        <w:t xml:space="preserve"> </w:t>
      </w:r>
      <w:r w:rsidRPr="00C74A41">
        <w:t xml:space="preserve">rozdílný efekt u exponované populace a naopak rozdílné </w:t>
      </w:r>
      <w:r>
        <w:t>výsledky při </w:t>
      </w:r>
      <w:r w:rsidRPr="00C74A41">
        <w:t>stejných zdrojích i</w:t>
      </w:r>
      <w:r>
        <w:t xml:space="preserve"> </w:t>
      </w:r>
      <w:r w:rsidRPr="00C74A41">
        <w:t>hladinách hluku na různých lokalitách v různých zemích. Obecně např. u obyvatel rodinných</w:t>
      </w:r>
      <w:r>
        <w:t xml:space="preserve"> </w:t>
      </w:r>
      <w:r w:rsidRPr="00C74A41">
        <w:t>domů nastává srovnatelný stupeň obtěžování až při hladinách o cca 10 i více dB vyšších,</w:t>
      </w:r>
      <w:r>
        <w:t xml:space="preserve"> </w:t>
      </w:r>
      <w:r w:rsidRPr="00C74A41">
        <w:t>oproti obyvatelům bytových domů</w:t>
      </w:r>
      <w:r>
        <w:t xml:space="preserve">. </w:t>
      </w:r>
      <w:r w:rsidRPr="00C74A41">
        <w:t>Významnou úlohu zde hraje vztah ke zdroji hluku, pocit do jaké míry jej člověk může</w:t>
      </w:r>
      <w:r>
        <w:t xml:space="preserve"> ovlivňovat nebo zda pro </w:t>
      </w:r>
      <w:r w:rsidRPr="00C74A41">
        <w:t>něj má nějaký ekonomický význam. Menší rozmrzelost působí hluk,</w:t>
      </w:r>
      <w:r>
        <w:t xml:space="preserve"> </w:t>
      </w:r>
      <w:r w:rsidRPr="00C74A41">
        <w:t>u nějž je předem známo, že bude trvat jen po určitou vymezenou dobu. Příznivě působí i</w:t>
      </w:r>
      <w:r>
        <w:t xml:space="preserve"> </w:t>
      </w:r>
      <w:r w:rsidRPr="00C74A41">
        <w:t>nabídnuté východisko, např. nabídka možnosti přestěhovat se v případě nutnosti po dobu</w:t>
      </w:r>
      <w:r>
        <w:t xml:space="preserve"> </w:t>
      </w:r>
      <w:r w:rsidRPr="00C74A41">
        <w:t>provádění nejhlučnějších stavebních operací do hotelu.</w:t>
      </w:r>
    </w:p>
    <w:p w14:paraId="10BD7901" w14:textId="77777777" w:rsidR="00391D60" w:rsidRPr="00C74A41" w:rsidRDefault="00391D60" w:rsidP="00391D60">
      <w:pPr>
        <w:autoSpaceDE w:val="0"/>
        <w:autoSpaceDN w:val="0"/>
        <w:adjustRightInd w:val="0"/>
        <w:jc w:val="both"/>
      </w:pPr>
      <w:r w:rsidRPr="00C74A41">
        <w:t>Závislost je i mezi nepříznivým prožíváním hluku a délkou pobytu v hlučném prostředí.</w:t>
      </w:r>
      <w:r>
        <w:t xml:space="preserve"> </w:t>
      </w:r>
      <w:r w:rsidRPr="00C74A41">
        <w:t>Rozmrzelost může vzniknout po víceleté latenci a s délkou konfliktní situace se prohlubuje a</w:t>
      </w:r>
      <w:r>
        <w:t xml:space="preserve"> </w:t>
      </w:r>
      <w:r w:rsidRPr="00C74A41">
        <w:t>fixuje. Kromě toho však může být významně ovlivněna zdravotním stavem.</w:t>
      </w:r>
      <w:r>
        <w:t xml:space="preserve"> </w:t>
      </w:r>
      <w:r w:rsidRPr="00C74A41">
        <w:t>Kromě negativních emocí je možné obtěžování hlukem hodnotit i podle nepřímých projevů,</w:t>
      </w:r>
      <w:r>
        <w:t xml:space="preserve"> </w:t>
      </w:r>
      <w:r w:rsidRPr="00C74A41">
        <w:t>jako je zavírání oken, nepoužívání balkónů, stěhování, stížnosti a petice. Obecně se ovšem</w:t>
      </w:r>
      <w:r>
        <w:t xml:space="preserve"> </w:t>
      </w:r>
      <w:r w:rsidRPr="00C74A41">
        <w:t>odhaduje, že na stížnostech a peticích se účastní pouze 5-10 % obyvatel skutečně hlukově</w:t>
      </w:r>
      <w:r>
        <w:t xml:space="preserve"> </w:t>
      </w:r>
      <w:r w:rsidRPr="00C74A41">
        <w:t>exponovaných.</w:t>
      </w:r>
    </w:p>
    <w:p w14:paraId="4FD7CD44" w14:textId="77777777" w:rsidR="00391D60" w:rsidRPr="00C74A41" w:rsidRDefault="00391D60" w:rsidP="00391D60">
      <w:pPr>
        <w:autoSpaceDE w:val="0"/>
        <w:autoSpaceDN w:val="0"/>
        <w:adjustRightInd w:val="0"/>
        <w:jc w:val="both"/>
      </w:pPr>
      <w:r w:rsidRPr="00C74A41">
        <w:t>Vysoké hladiny hluku vedou i k nepříznivým projevům v sociálním chování, mohou u</w:t>
      </w:r>
      <w:r>
        <w:t> </w:t>
      </w:r>
      <w:r w:rsidRPr="00C74A41">
        <w:t>predisponovaných jedinců zvyšovat agresivitu a redukují přátelské chování a ochotu</w:t>
      </w:r>
      <w:r>
        <w:t xml:space="preserve"> k </w:t>
      </w:r>
      <w:r w:rsidRPr="00C74A41">
        <w:t>pomoci. Svoji úlohu zde hraje i zhoršená verbální komunikace, výsledky studií ukazují, že</w:t>
      </w:r>
      <w:r>
        <w:t xml:space="preserve"> </w:t>
      </w:r>
      <w:r w:rsidRPr="00C74A41">
        <w:t>je více snížena ochota ke slovní pomoci, než k pomoci fyzické.</w:t>
      </w:r>
    </w:p>
    <w:p w14:paraId="24EA827F" w14:textId="77777777" w:rsidR="00391D60" w:rsidRPr="00C74A41" w:rsidRDefault="00391D60" w:rsidP="00391D60">
      <w:pPr>
        <w:autoSpaceDE w:val="0"/>
        <w:autoSpaceDN w:val="0"/>
        <w:adjustRightInd w:val="0"/>
        <w:spacing w:before="120"/>
        <w:jc w:val="both"/>
      </w:pPr>
      <w:r w:rsidRPr="00C74A41">
        <w:t>Dle doporučení WHO je během dne jen málo lidí vážně obtěžováno při svých aktivitách</w:t>
      </w:r>
      <w:r>
        <w:t xml:space="preserve"> </w:t>
      </w:r>
      <w:r w:rsidRPr="00C74A41">
        <w:t>ekvivalentní hladinou hluku pod 55 dB, nebo mírně obtěžováno při L</w:t>
      </w:r>
      <w:r w:rsidRPr="00BE596C">
        <w:rPr>
          <w:vertAlign w:val="subscript"/>
        </w:rPr>
        <w:t>Aeq</w:t>
      </w:r>
      <w:r w:rsidRPr="00C74A41">
        <w:t xml:space="preserve"> pod 50 dB. Tam, kde</w:t>
      </w:r>
      <w:r>
        <w:t xml:space="preserve"> </w:t>
      </w:r>
      <w:r w:rsidRPr="00C74A41">
        <w:t>je to možné, zejména při novém rozvoji území, by proto měla být limitující hladina hluku</w:t>
      </w:r>
      <w:r>
        <w:t xml:space="preserve"> </w:t>
      </w:r>
      <w:r w:rsidRPr="00C74A41">
        <w:t>nižší, přičemž během večera a noci by hladina hluku měla být o 5 – 10 dB nižší, nežli ve dne.</w:t>
      </w:r>
    </w:p>
    <w:p w14:paraId="539CFEFA" w14:textId="77777777" w:rsidR="00391D60" w:rsidRPr="00C74A41" w:rsidRDefault="00391D60" w:rsidP="00391D60">
      <w:pPr>
        <w:autoSpaceDE w:val="0"/>
        <w:autoSpaceDN w:val="0"/>
        <w:adjustRightInd w:val="0"/>
        <w:spacing w:before="120"/>
        <w:jc w:val="both"/>
      </w:pPr>
      <w:r w:rsidRPr="00C74A41">
        <w:rPr>
          <w:b/>
          <w:bCs/>
          <w:i/>
          <w:iCs/>
        </w:rPr>
        <w:lastRenderedPageBreak/>
        <w:t xml:space="preserve">Vztah mezi hlučností z dopravy ve městech a ukazateli zdravotního stavu u obyvatel ČR </w:t>
      </w:r>
      <w:r w:rsidRPr="00C74A41">
        <w:t>je</w:t>
      </w:r>
      <w:r>
        <w:t xml:space="preserve"> </w:t>
      </w:r>
      <w:r w:rsidRPr="00C74A41">
        <w:t>obsáhle sledován v rámci Systému monitorování zdravotního stavu obyvatel ve vztahu</w:t>
      </w:r>
      <w:r>
        <w:t xml:space="preserve"> </w:t>
      </w:r>
      <w:r w:rsidRPr="00C74A41">
        <w:t>k životnímu prostředí. Výsledky potvrzují úzkou závislost ukazatelů, jako je počet osob</w:t>
      </w:r>
      <w:r>
        <w:t xml:space="preserve"> </w:t>
      </w:r>
      <w:r w:rsidRPr="00C74A41">
        <w:t>obtěžovaných venkovním hlukem, procento osob se špatným spánkem a obtížným</w:t>
      </w:r>
      <w:r>
        <w:t xml:space="preserve"> </w:t>
      </w:r>
      <w:r w:rsidRPr="00C74A41">
        <w:t xml:space="preserve">usínáním nebo osob </w:t>
      </w:r>
      <w:r>
        <w:t>u</w:t>
      </w:r>
      <w:r w:rsidRPr="00C74A41">
        <w:t>žívajících denně sedativa, zejména na noční ekvivalentní hladině hluku.</w:t>
      </w:r>
      <w:r>
        <w:t xml:space="preserve"> </w:t>
      </w:r>
      <w:r w:rsidRPr="00C74A41">
        <w:t>Opakovaně zde byla ověřena i statisticky významná závislost mezi noční L</w:t>
      </w:r>
      <w:r w:rsidRPr="004D6033">
        <w:rPr>
          <w:vertAlign w:val="subscript"/>
        </w:rPr>
        <w:t>Aeq</w:t>
      </w:r>
      <w:r w:rsidRPr="00C74A41">
        <w:t xml:space="preserve"> a celkovou</w:t>
      </w:r>
      <w:r>
        <w:t xml:space="preserve"> </w:t>
      </w:r>
      <w:r w:rsidRPr="00C74A41">
        <w:t>nemocností na civilizační choroby, přičemž bylo zjištěno, že zvýšená hluková expozice se na</w:t>
      </w:r>
      <w:r>
        <w:t xml:space="preserve"> </w:t>
      </w:r>
      <w:r w:rsidRPr="00C74A41">
        <w:t>nemocnosti podílí asi z 10 %. Zpracované grafy v závěrečných zprávách projektu umožňují</w:t>
      </w:r>
      <w:r>
        <w:t xml:space="preserve"> </w:t>
      </w:r>
      <w:r w:rsidRPr="00C74A41">
        <w:t>předpovědět zvýšení procenta takto pos</w:t>
      </w:r>
      <w:r>
        <w:t>tižených osob v dané lokalitě v </w:t>
      </w:r>
      <w:r w:rsidRPr="00C74A41">
        <w:t>závislosti na zvýšení</w:t>
      </w:r>
      <w:r>
        <w:t xml:space="preserve"> </w:t>
      </w:r>
      <w:r w:rsidRPr="00C74A41">
        <w:t>hlučnosti.</w:t>
      </w:r>
    </w:p>
    <w:p w14:paraId="48EEA98B" w14:textId="77777777" w:rsidR="00391D60" w:rsidRDefault="00391D60" w:rsidP="00391D60">
      <w:pPr>
        <w:autoSpaceDE w:val="0"/>
        <w:autoSpaceDN w:val="0"/>
        <w:adjustRightInd w:val="0"/>
        <w:jc w:val="both"/>
      </w:pPr>
    </w:p>
    <w:p w14:paraId="00CAD904" w14:textId="22BCECD2" w:rsidR="00391D60" w:rsidRPr="00262B5D" w:rsidRDefault="002D345C" w:rsidP="00391D60">
      <w:pPr>
        <w:pStyle w:val="Nadpis2"/>
        <w:widowControl w:val="0"/>
        <w:spacing w:after="120"/>
        <w:jc w:val="both"/>
        <w:rPr>
          <w:b w:val="0"/>
          <w:sz w:val="26"/>
          <w:szCs w:val="26"/>
        </w:rPr>
      </w:pPr>
      <w:bookmarkStart w:id="2" w:name="_Toc192378689"/>
      <w:bookmarkStart w:id="3" w:name="_Toc295982247"/>
      <w:r>
        <w:rPr>
          <w:sz w:val="26"/>
          <w:szCs w:val="26"/>
        </w:rPr>
        <w:t>3</w:t>
      </w:r>
      <w:r w:rsidR="00391D60">
        <w:rPr>
          <w:sz w:val="26"/>
          <w:szCs w:val="26"/>
        </w:rPr>
        <w:t>.2</w:t>
      </w:r>
      <w:r w:rsidR="00391D60">
        <w:rPr>
          <w:sz w:val="26"/>
          <w:szCs w:val="26"/>
        </w:rPr>
        <w:tab/>
      </w:r>
      <w:r w:rsidR="00391D60" w:rsidRPr="00262B5D">
        <w:rPr>
          <w:sz w:val="26"/>
          <w:szCs w:val="26"/>
        </w:rPr>
        <w:t>Charakterizace nebezpečnosti</w:t>
      </w:r>
      <w:bookmarkEnd w:id="2"/>
      <w:bookmarkEnd w:id="3"/>
    </w:p>
    <w:p w14:paraId="00F42801" w14:textId="77777777" w:rsidR="00391D60" w:rsidRDefault="00391D60" w:rsidP="00391D60">
      <w:pPr>
        <w:jc w:val="both"/>
      </w:pPr>
      <w:r>
        <w:t>Z materiálu</w:t>
      </w:r>
      <w:r w:rsidRPr="00C74A41">
        <w:t xml:space="preserve"> WHO </w:t>
      </w:r>
      <w:r>
        <w:t>(</w:t>
      </w:r>
      <w:r w:rsidRPr="005C4A68">
        <w:rPr>
          <w:b/>
        </w:rPr>
        <w:t>Guidelines for Community Noise, 1999</w:t>
      </w:r>
      <w:r>
        <w:t xml:space="preserve">) obecně </w:t>
      </w:r>
      <w:r w:rsidRPr="00C74A41">
        <w:t>vyplývá</w:t>
      </w:r>
      <w:r>
        <w:t xml:space="preserve"> závěr</w:t>
      </w:r>
      <w:r w:rsidRPr="00C74A41">
        <w:t>, že v obydlích je kritickým účinkem hluku rušení</w:t>
      </w:r>
      <w:r>
        <w:t xml:space="preserve"> </w:t>
      </w:r>
      <w:r w:rsidRPr="00C74A41">
        <w:t xml:space="preserve">spánku, obtěžování a zhoršená komunikace řečí. </w:t>
      </w:r>
      <w:r>
        <w:t>D</w:t>
      </w:r>
      <w:r w:rsidRPr="00C74A41">
        <w:t xml:space="preserve">enní ekvivalentní hladina hluku </w:t>
      </w:r>
      <w:r>
        <w:t>by neměla přesáhnout</w:t>
      </w:r>
      <w:r w:rsidRPr="00C74A41">
        <w:t xml:space="preserve"> hodnotu 55 dB</w:t>
      </w:r>
      <w:r>
        <w:t xml:space="preserve"> </w:t>
      </w:r>
      <w:r w:rsidRPr="00C74A41">
        <w:t>L</w:t>
      </w:r>
      <w:r w:rsidRPr="009F7060">
        <w:rPr>
          <w:vertAlign w:val="subscript"/>
        </w:rPr>
        <w:t>Aeq</w:t>
      </w:r>
      <w:r w:rsidRPr="00C74A41">
        <w:t xml:space="preserve">, měřeno </w:t>
      </w:r>
      <w:smartTag w:uri="urn:schemas-microsoft-com:office:smarttags" w:element="metricconverter">
        <w:smartTagPr>
          <w:attr w:name="ProductID" w:val="1 m"/>
        </w:smartTagPr>
        <w:r w:rsidRPr="00C74A41">
          <w:t>1 m</w:t>
        </w:r>
      </w:smartTag>
      <w:r w:rsidRPr="00C74A41">
        <w:t xml:space="preserve"> před fasádou.</w:t>
      </w:r>
      <w:r>
        <w:t xml:space="preserve"> V tomto dokumentu WHO jsou dále pro denní hluk uvedeny směrnicové hodnoty pro specifická prostředí, jako jsou školy, školky, interiér obytných místností, nemocnice atd. s uvedením hraničních účinků, které vedly ke stanovení směrnicových hodnot. </w:t>
      </w:r>
      <w:r w:rsidRPr="00487904">
        <w:t>Dle doporučení WHO je během dne jen málo lidí vážně obtěžováno při svých aktivitách</w:t>
      </w:r>
      <w:r>
        <w:t>,</w:t>
      </w:r>
      <w:r w:rsidRPr="00487904">
        <w:t xml:space="preserve"> </w:t>
      </w:r>
      <w:r>
        <w:t>v chráněném venkovním prostoru,</w:t>
      </w:r>
      <w:r w:rsidRPr="00487904">
        <w:t xml:space="preserve"> ekvivalen</w:t>
      </w:r>
      <w:r>
        <w:t>tní hladinou hluku pod 55 dB</w:t>
      </w:r>
      <w:r w:rsidRPr="00487904">
        <w:t xml:space="preserve"> anebo mírně obtěžováno při L</w:t>
      </w:r>
      <w:r w:rsidRPr="00487904">
        <w:rPr>
          <w:vertAlign w:val="subscript"/>
        </w:rPr>
        <w:t>Aeq</w:t>
      </w:r>
      <w:r w:rsidRPr="00487904">
        <w:t xml:space="preserve"> pod 50 dB. </w:t>
      </w:r>
    </w:p>
    <w:p w14:paraId="31AF4EA9" w14:textId="77777777" w:rsidR="00391D60" w:rsidRDefault="00391D60" w:rsidP="00391D60">
      <w:pPr>
        <w:autoSpaceDE w:val="0"/>
        <w:autoSpaceDN w:val="0"/>
        <w:adjustRightInd w:val="0"/>
        <w:spacing w:before="120"/>
      </w:pPr>
      <w:r>
        <w:t xml:space="preserve">Vlivy nočního hluku na lidské zdraví jsou shrnuty v  materiálu WHO </w:t>
      </w:r>
      <w:r w:rsidRPr="00BF0394">
        <w:rPr>
          <w:b/>
        </w:rPr>
        <w:t>Night Noise Guidelines for Europe</w:t>
      </w:r>
      <w:r>
        <w:t xml:space="preserve"> z října 2009. Na tento materiál lze pohlížet jako na rozšíření i jako na novelu výše jmenovaného dokumentu WHO (Guidelines for Community Noise). </w:t>
      </w:r>
    </w:p>
    <w:p w14:paraId="2D697363" w14:textId="77777777" w:rsidR="00391D60" w:rsidRDefault="00391D60" w:rsidP="00391D60">
      <w:pPr>
        <w:autoSpaceDE w:val="0"/>
        <w:autoSpaceDN w:val="0"/>
        <w:adjustRightInd w:val="0"/>
        <w:jc w:val="both"/>
      </w:pPr>
      <w:r>
        <w:t>Doporučení pro ochranu zdraví vychází z důkazů podaných epidemiologickými a experimentálními studiemi. Vztahy mezi expozičními hladinami hluku v noci a zdravotními účinky jsou shrnuty v následující tabulce.</w:t>
      </w:r>
    </w:p>
    <w:p w14:paraId="417C5AD2" w14:textId="77777777" w:rsidR="00391D60" w:rsidRDefault="00391D60" w:rsidP="00391D60">
      <w:pPr>
        <w:autoSpaceDE w:val="0"/>
        <w:autoSpaceDN w:val="0"/>
        <w:adjustRightInd w:val="0"/>
      </w:pPr>
    </w:p>
    <w:p w14:paraId="5AB4EECF" w14:textId="66504DF2" w:rsidR="00391D60" w:rsidRPr="00C20A4F" w:rsidRDefault="00391D60" w:rsidP="00391D60">
      <w:pPr>
        <w:autoSpaceDE w:val="0"/>
        <w:autoSpaceDN w:val="0"/>
        <w:adjustRightInd w:val="0"/>
        <w:spacing w:after="120"/>
        <w:rPr>
          <w:b/>
        </w:rPr>
      </w:pPr>
      <w:r w:rsidRPr="00C20A4F">
        <w:rPr>
          <w:b/>
        </w:rPr>
        <w:t xml:space="preserve">Tabulka </w:t>
      </w:r>
      <w:r w:rsidR="002E29EB">
        <w:rPr>
          <w:b/>
        </w:rPr>
        <w:t>2</w:t>
      </w:r>
      <w:r w:rsidRPr="00C20A4F">
        <w:rPr>
          <w:b/>
        </w:rPr>
        <w:t>: Účinky různých hladin nočního hluku na zdraví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573"/>
      </w:tblGrid>
      <w:tr w:rsidR="00391D60" w:rsidRPr="00323DF4" w14:paraId="46F72B81" w14:textId="77777777" w:rsidTr="00391D60">
        <w:trPr>
          <w:tblHeader/>
        </w:trPr>
        <w:tc>
          <w:tcPr>
            <w:tcW w:w="1242" w:type="dxa"/>
            <w:shd w:val="clear" w:color="auto" w:fill="E6E6E6"/>
          </w:tcPr>
          <w:p w14:paraId="6A3A6C7D" w14:textId="77777777" w:rsidR="00391D60" w:rsidRPr="00323DF4" w:rsidRDefault="00391D60" w:rsidP="00391D60">
            <w:pPr>
              <w:autoSpaceDE w:val="0"/>
              <w:autoSpaceDN w:val="0"/>
              <w:adjustRightInd w:val="0"/>
              <w:rPr>
                <w:vertAlign w:val="subscript"/>
              </w:rPr>
            </w:pPr>
            <w:r w:rsidRPr="00323DF4">
              <w:t>L</w:t>
            </w:r>
            <w:r w:rsidRPr="00323DF4">
              <w:rPr>
                <w:vertAlign w:val="subscript"/>
              </w:rPr>
              <w:t>night,outside</w:t>
            </w:r>
          </w:p>
        </w:tc>
        <w:tc>
          <w:tcPr>
            <w:tcW w:w="7573" w:type="dxa"/>
            <w:shd w:val="clear" w:color="auto" w:fill="E6E6E6"/>
          </w:tcPr>
          <w:p w14:paraId="5E60E9D3" w14:textId="77777777" w:rsidR="00391D60" w:rsidRPr="00323DF4" w:rsidRDefault="00391D60" w:rsidP="00391D60">
            <w:pPr>
              <w:autoSpaceDE w:val="0"/>
              <w:autoSpaceDN w:val="0"/>
              <w:adjustRightInd w:val="0"/>
            </w:pPr>
            <w:r w:rsidRPr="00323DF4">
              <w:t>Pozorované zdravotní účinky</w:t>
            </w:r>
          </w:p>
        </w:tc>
      </w:tr>
      <w:tr w:rsidR="00391D60" w:rsidRPr="00323DF4" w14:paraId="132E6693" w14:textId="77777777" w:rsidTr="00391D60">
        <w:tc>
          <w:tcPr>
            <w:tcW w:w="1242" w:type="dxa"/>
            <w:shd w:val="clear" w:color="auto" w:fill="auto"/>
          </w:tcPr>
          <w:p w14:paraId="134CC444" w14:textId="77777777" w:rsidR="00391D60" w:rsidRPr="00323DF4" w:rsidRDefault="00391D60" w:rsidP="00391D60">
            <w:pPr>
              <w:autoSpaceDE w:val="0"/>
              <w:autoSpaceDN w:val="0"/>
              <w:adjustRightInd w:val="0"/>
            </w:pPr>
            <w:r w:rsidRPr="00323DF4">
              <w:t>pod 30 dB</w:t>
            </w:r>
          </w:p>
        </w:tc>
        <w:tc>
          <w:tcPr>
            <w:tcW w:w="7573" w:type="dxa"/>
            <w:shd w:val="clear" w:color="auto" w:fill="auto"/>
          </w:tcPr>
          <w:p w14:paraId="0312145D" w14:textId="77777777" w:rsidR="00391D60" w:rsidRDefault="00391D60" w:rsidP="00391D60">
            <w:pPr>
              <w:autoSpaceDE w:val="0"/>
              <w:autoSpaceDN w:val="0"/>
              <w:adjustRightInd w:val="0"/>
            </w:pPr>
            <w:r w:rsidRPr="00323DF4">
              <w:t xml:space="preserve">Přes individuální rozdíly a různé okolnosti pod touto hladinou nebyly pozorovány žádné zdravotní účinky. </w:t>
            </w:r>
          </w:p>
          <w:p w14:paraId="67A3D4FA" w14:textId="77777777" w:rsidR="00391D60" w:rsidRPr="00323DF4" w:rsidRDefault="00391D60" w:rsidP="00391D60">
            <w:pPr>
              <w:autoSpaceDE w:val="0"/>
              <w:autoSpaceDN w:val="0"/>
              <w:adjustRightInd w:val="0"/>
            </w:pPr>
            <w:r w:rsidRPr="00323DF4">
              <w:t>Noční hladina 30 dB je hladinou NOEL pro noční hluk (NOEL=nejvyšší úroveň expozice, při které není pozorován žádný účinek).</w:t>
            </w:r>
          </w:p>
        </w:tc>
      </w:tr>
      <w:tr w:rsidR="00391D60" w:rsidRPr="00323DF4" w14:paraId="53878AFB" w14:textId="77777777" w:rsidTr="00391D60">
        <w:tc>
          <w:tcPr>
            <w:tcW w:w="1242" w:type="dxa"/>
            <w:shd w:val="clear" w:color="auto" w:fill="auto"/>
          </w:tcPr>
          <w:p w14:paraId="7621C128" w14:textId="77777777" w:rsidR="00391D60" w:rsidRPr="00323DF4" w:rsidRDefault="00391D60" w:rsidP="00391D60">
            <w:pPr>
              <w:autoSpaceDE w:val="0"/>
              <w:autoSpaceDN w:val="0"/>
              <w:adjustRightInd w:val="0"/>
            </w:pPr>
            <w:r w:rsidRPr="00323DF4">
              <w:t>30-40 dB</w:t>
            </w:r>
          </w:p>
        </w:tc>
        <w:tc>
          <w:tcPr>
            <w:tcW w:w="7573" w:type="dxa"/>
            <w:shd w:val="clear" w:color="auto" w:fill="auto"/>
          </w:tcPr>
          <w:p w14:paraId="07FC1EBC" w14:textId="77777777" w:rsidR="00391D60" w:rsidRPr="00323DF4" w:rsidRDefault="00391D60" w:rsidP="00391D60">
            <w:pPr>
              <w:autoSpaceDE w:val="0"/>
              <w:autoSpaceDN w:val="0"/>
              <w:adjustRightInd w:val="0"/>
              <w:jc w:val="both"/>
            </w:pPr>
            <w:r>
              <w:rPr>
                <w:rFonts w:eastAsiaTheme="minorHAnsi"/>
                <w:sz w:val="22"/>
                <w:szCs w:val="22"/>
                <w:lang w:eastAsia="en-US"/>
              </w:rPr>
              <w:t>V této oblasti je pozorována řada účinků na spánek: převalování se, probouzení, subjektivn</w:t>
            </w:r>
            <w:r>
              <w:rPr>
                <w:rFonts w:ascii="TimesNewRoman" w:eastAsia="TimesNewRoman" w:cs="TimesNewRoman" w:hint="eastAsia"/>
                <w:sz w:val="22"/>
                <w:szCs w:val="22"/>
                <w:lang w:eastAsia="en-US"/>
              </w:rPr>
              <w:t>ě</w:t>
            </w:r>
            <w:r>
              <w:rPr>
                <w:rFonts w:ascii="TimesNewRoman" w:eastAsia="TimesNewRoman" w:cs="TimesNewRoman"/>
                <w:sz w:val="22"/>
                <w:szCs w:val="22"/>
                <w:lang w:eastAsia="en-US"/>
              </w:rPr>
              <w:t xml:space="preserve"> </w:t>
            </w:r>
            <w:r>
              <w:rPr>
                <w:rFonts w:eastAsiaTheme="minorHAnsi"/>
                <w:sz w:val="22"/>
                <w:szCs w:val="22"/>
                <w:lang w:eastAsia="en-US"/>
              </w:rPr>
              <w:t>hodnocené narušování spánku, nespavost. Intenzita t</w:t>
            </w:r>
            <w:r>
              <w:rPr>
                <w:rFonts w:ascii="TimesNewRoman" w:eastAsia="TimesNewRoman" w:cs="TimesNewRoman" w:hint="eastAsia"/>
                <w:sz w:val="22"/>
                <w:szCs w:val="22"/>
                <w:lang w:eastAsia="en-US"/>
              </w:rPr>
              <w:t>ě</w:t>
            </w:r>
            <w:r>
              <w:rPr>
                <w:rFonts w:eastAsiaTheme="minorHAnsi"/>
                <w:sz w:val="22"/>
                <w:szCs w:val="22"/>
                <w:lang w:eastAsia="en-US"/>
              </w:rPr>
              <w:t>chto vliv</w:t>
            </w:r>
            <w:r>
              <w:rPr>
                <w:rFonts w:ascii="TimesNewRoman" w:eastAsia="TimesNewRoman" w:cs="TimesNewRoman" w:hint="eastAsia"/>
                <w:sz w:val="22"/>
                <w:szCs w:val="22"/>
                <w:lang w:eastAsia="en-US"/>
              </w:rPr>
              <w:t>ů</w:t>
            </w:r>
            <w:r>
              <w:rPr>
                <w:rFonts w:ascii="TimesNewRoman" w:eastAsia="TimesNewRoman" w:cs="TimesNewRoman"/>
                <w:sz w:val="22"/>
                <w:szCs w:val="22"/>
                <w:lang w:eastAsia="en-US"/>
              </w:rPr>
              <w:t xml:space="preserve"> </w:t>
            </w:r>
            <w:r>
              <w:rPr>
                <w:rFonts w:eastAsiaTheme="minorHAnsi"/>
                <w:sz w:val="22"/>
                <w:szCs w:val="22"/>
                <w:lang w:eastAsia="en-US"/>
              </w:rPr>
              <w:t>závisí na povaze zdroje hluku a po</w:t>
            </w:r>
            <w:r>
              <w:rPr>
                <w:rFonts w:ascii="TimesNewRoman" w:eastAsia="TimesNewRoman" w:cs="TimesNewRoman" w:hint="eastAsia"/>
                <w:sz w:val="22"/>
                <w:szCs w:val="22"/>
                <w:lang w:eastAsia="en-US"/>
              </w:rPr>
              <w:t>č</w:t>
            </w:r>
            <w:r>
              <w:rPr>
                <w:rFonts w:eastAsiaTheme="minorHAnsi"/>
                <w:sz w:val="22"/>
                <w:szCs w:val="22"/>
                <w:lang w:eastAsia="en-US"/>
              </w:rPr>
              <w:t xml:space="preserve">tu událostí. </w:t>
            </w:r>
            <w:r w:rsidRPr="00323DF4">
              <w:t>Citlivé skupiny (např. děti, chronicky nemocní a starší lidé) jsou více vnímavé. Účinky se jeví jako mírné.</w:t>
            </w:r>
          </w:p>
          <w:p w14:paraId="6E33C7DE" w14:textId="0D6B4264" w:rsidR="00391D60" w:rsidRPr="00323DF4" w:rsidRDefault="00391D60" w:rsidP="002D345C">
            <w:pPr>
              <w:autoSpaceDE w:val="0"/>
              <w:autoSpaceDN w:val="0"/>
              <w:adjustRightInd w:val="0"/>
            </w:pPr>
            <w:r w:rsidRPr="00323DF4">
              <w:t>Noční hladina 40 dB je hladinou LOAEL pro noční hluk (LOAEL=</w:t>
            </w:r>
            <w:r w:rsidR="002D345C">
              <w:t xml:space="preserve"> </w:t>
            </w:r>
            <w:r w:rsidRPr="00323DF4">
              <w:t>nejnižší úroveň, při které je ještě pozorována nepříznivá odpověď na statisticky významné úrovni).</w:t>
            </w:r>
          </w:p>
        </w:tc>
      </w:tr>
      <w:tr w:rsidR="00391D60" w:rsidRPr="00323DF4" w14:paraId="2F0FD176" w14:textId="77777777" w:rsidTr="00391D60">
        <w:tc>
          <w:tcPr>
            <w:tcW w:w="1242" w:type="dxa"/>
            <w:shd w:val="clear" w:color="auto" w:fill="auto"/>
          </w:tcPr>
          <w:p w14:paraId="11EB986D" w14:textId="77777777" w:rsidR="00391D60" w:rsidRPr="00323DF4" w:rsidRDefault="00391D60" w:rsidP="00391D60">
            <w:pPr>
              <w:autoSpaceDE w:val="0"/>
              <w:autoSpaceDN w:val="0"/>
              <w:adjustRightInd w:val="0"/>
            </w:pPr>
            <w:r w:rsidRPr="00323DF4">
              <w:t>40-55 dB</w:t>
            </w:r>
          </w:p>
        </w:tc>
        <w:tc>
          <w:tcPr>
            <w:tcW w:w="7573" w:type="dxa"/>
            <w:shd w:val="clear" w:color="auto" w:fill="auto"/>
          </w:tcPr>
          <w:p w14:paraId="16434DE4" w14:textId="77777777" w:rsidR="00391D60" w:rsidRPr="00323DF4" w:rsidRDefault="00391D60" w:rsidP="00391D60">
            <w:pPr>
              <w:autoSpaceDE w:val="0"/>
              <w:autoSpaceDN w:val="0"/>
              <w:adjustRightInd w:val="0"/>
            </w:pPr>
            <w:r>
              <w:rPr>
                <w:rFonts w:eastAsiaTheme="minorHAnsi"/>
                <w:sz w:val="22"/>
                <w:szCs w:val="22"/>
                <w:lang w:eastAsia="en-US"/>
              </w:rPr>
              <w:t xml:space="preserve">V exponované populaci jsou </w:t>
            </w:r>
            <w:r w:rsidRPr="00323DF4">
              <w:t>pozorovány nepříznivé účinky</w:t>
            </w:r>
            <w:r>
              <w:t>. Lidé jsou nuceni se adaptovat na zvýšený hluk, citlivá populace snáší expozice hůře</w:t>
            </w:r>
          </w:p>
        </w:tc>
      </w:tr>
      <w:tr w:rsidR="00391D60" w:rsidRPr="00323DF4" w14:paraId="3DBAF04F" w14:textId="77777777" w:rsidTr="00391D60">
        <w:tc>
          <w:tcPr>
            <w:tcW w:w="1242" w:type="dxa"/>
            <w:shd w:val="clear" w:color="auto" w:fill="auto"/>
          </w:tcPr>
          <w:p w14:paraId="0CE36719" w14:textId="77777777" w:rsidR="00391D60" w:rsidRPr="00323DF4" w:rsidRDefault="00391D60" w:rsidP="00391D60">
            <w:pPr>
              <w:autoSpaceDE w:val="0"/>
              <w:autoSpaceDN w:val="0"/>
              <w:adjustRightInd w:val="0"/>
            </w:pPr>
            <w:r w:rsidRPr="00323DF4">
              <w:t>nad 55 dB</w:t>
            </w:r>
          </w:p>
        </w:tc>
        <w:tc>
          <w:tcPr>
            <w:tcW w:w="7573" w:type="dxa"/>
            <w:shd w:val="clear" w:color="auto" w:fill="auto"/>
          </w:tcPr>
          <w:p w14:paraId="0AF6EBA6" w14:textId="77777777" w:rsidR="00391D60" w:rsidRPr="00323DF4" w:rsidRDefault="00391D60" w:rsidP="00391D60">
            <w:pPr>
              <w:autoSpaceDE w:val="0"/>
              <w:autoSpaceDN w:val="0"/>
              <w:adjustRightInd w:val="0"/>
            </w:pPr>
            <w:r w:rsidRPr="00323DF4">
              <w:t xml:space="preserve">Nepříznivé zdravotní účinky se objevují často a u značné části populace </w:t>
            </w:r>
            <w:r>
              <w:t xml:space="preserve">a </w:t>
            </w:r>
            <w:r w:rsidRPr="00323DF4">
              <w:t>jsou vnímány jako vysoce rušivé a obtěžující. Existují důkazy nárůstu kardiovaskulárních onemocnění.</w:t>
            </w:r>
          </w:p>
        </w:tc>
      </w:tr>
    </w:tbl>
    <w:p w14:paraId="47A1D898" w14:textId="77777777" w:rsidR="00391D60" w:rsidRDefault="00391D60" w:rsidP="00391D60">
      <w:pPr>
        <w:autoSpaceDE w:val="0"/>
        <w:autoSpaceDN w:val="0"/>
        <w:adjustRightInd w:val="0"/>
      </w:pPr>
    </w:p>
    <w:p w14:paraId="26FF2D84" w14:textId="77777777" w:rsidR="00391D60" w:rsidRPr="001F512E" w:rsidRDefault="00391D60" w:rsidP="00391D60">
      <w:pPr>
        <w:autoSpaceDE w:val="0"/>
        <w:autoSpaceDN w:val="0"/>
        <w:adjustRightInd w:val="0"/>
        <w:jc w:val="both"/>
      </w:pPr>
      <w:r w:rsidRPr="001F512E">
        <w:rPr>
          <w:rFonts w:eastAsia="TimesNewRomanPSMT"/>
          <w:lang w:eastAsia="en-US"/>
        </w:rPr>
        <w:lastRenderedPageBreak/>
        <w:t>Doporučen</w:t>
      </w:r>
      <w:r>
        <w:rPr>
          <w:rFonts w:eastAsia="TimesNewRomanPSMT"/>
          <w:lang w:eastAsia="en-US"/>
        </w:rPr>
        <w:t>í</w:t>
      </w:r>
      <w:r w:rsidRPr="001F512E">
        <w:rPr>
          <w:rFonts w:eastAsia="TimesNewRomanPSMT"/>
          <w:lang w:eastAsia="en-US"/>
        </w:rPr>
        <w:t xml:space="preserve"> WHO je, že ekvivalentn</w:t>
      </w:r>
      <w:r>
        <w:rPr>
          <w:rFonts w:eastAsia="TimesNewRomanPSMT"/>
          <w:lang w:eastAsia="en-US"/>
        </w:rPr>
        <w:t>í</w:t>
      </w:r>
      <w:r w:rsidRPr="001F512E">
        <w:rPr>
          <w:rFonts w:eastAsia="TimesNewRomanPSMT"/>
          <w:lang w:eastAsia="en-US"/>
        </w:rPr>
        <w:t xml:space="preserve"> hladina akustick</w:t>
      </w:r>
      <w:r>
        <w:rPr>
          <w:rFonts w:eastAsia="TimesNewRomanPSMT"/>
          <w:lang w:eastAsia="en-US"/>
        </w:rPr>
        <w:t>é</w:t>
      </w:r>
      <w:r w:rsidRPr="001F512E">
        <w:rPr>
          <w:rFonts w:eastAsia="TimesNewRomanPSMT"/>
          <w:lang w:eastAsia="en-US"/>
        </w:rPr>
        <w:t>ho tlaku A by neměla přes</w:t>
      </w:r>
      <w:r>
        <w:rPr>
          <w:rFonts w:eastAsia="TimesNewRomanPSMT"/>
          <w:lang w:eastAsia="en-US"/>
        </w:rPr>
        <w:t>á</w:t>
      </w:r>
      <w:r w:rsidRPr="001F512E">
        <w:rPr>
          <w:rFonts w:eastAsia="TimesNewRomanPSMT"/>
          <w:lang w:eastAsia="en-US"/>
        </w:rPr>
        <w:t>hnout 40 dB. Tam kde je to v kr</w:t>
      </w:r>
      <w:r>
        <w:rPr>
          <w:rFonts w:eastAsia="TimesNewRomanPSMT"/>
          <w:lang w:eastAsia="en-US"/>
        </w:rPr>
        <w:t>á</w:t>
      </w:r>
      <w:r w:rsidRPr="001F512E">
        <w:rPr>
          <w:rFonts w:eastAsia="TimesNewRomanPSMT"/>
          <w:lang w:eastAsia="en-US"/>
        </w:rPr>
        <w:t>tk</w:t>
      </w:r>
      <w:r>
        <w:rPr>
          <w:rFonts w:eastAsia="TimesNewRomanPSMT"/>
          <w:lang w:eastAsia="en-US"/>
        </w:rPr>
        <w:t>é</w:t>
      </w:r>
      <w:r w:rsidRPr="001F512E">
        <w:rPr>
          <w:rFonts w:eastAsia="TimesNewRomanPSMT"/>
          <w:lang w:eastAsia="en-US"/>
        </w:rPr>
        <w:t>m čase technicky</w:t>
      </w:r>
      <w:r>
        <w:rPr>
          <w:rFonts w:eastAsia="TimesNewRomanPSMT"/>
          <w:lang w:eastAsia="en-US"/>
        </w:rPr>
        <w:t xml:space="preserve"> </w:t>
      </w:r>
      <w:r w:rsidRPr="001F512E">
        <w:rPr>
          <w:rFonts w:eastAsia="TimesNewRomanPSMT"/>
          <w:lang w:eastAsia="en-US"/>
        </w:rPr>
        <w:t>nemožn</w:t>
      </w:r>
      <w:r>
        <w:rPr>
          <w:rFonts w:eastAsia="TimesNewRomanPSMT"/>
          <w:lang w:eastAsia="en-US"/>
        </w:rPr>
        <w:t>é</w:t>
      </w:r>
      <w:r w:rsidRPr="001F512E">
        <w:rPr>
          <w:rFonts w:eastAsia="TimesNewRomanPSMT"/>
          <w:lang w:eastAsia="en-US"/>
        </w:rPr>
        <w:t>, mohou odpovědn</w:t>
      </w:r>
      <w:r>
        <w:rPr>
          <w:rFonts w:eastAsia="TimesNewRomanPSMT"/>
          <w:lang w:eastAsia="en-US"/>
        </w:rPr>
        <w:t>é</w:t>
      </w:r>
      <w:r w:rsidRPr="001F512E">
        <w:rPr>
          <w:rFonts w:eastAsia="TimesNewRomanPSMT"/>
          <w:lang w:eastAsia="en-US"/>
        </w:rPr>
        <w:t xml:space="preserve"> org</w:t>
      </w:r>
      <w:r>
        <w:rPr>
          <w:rFonts w:eastAsia="TimesNewRomanPSMT"/>
          <w:lang w:eastAsia="en-US"/>
        </w:rPr>
        <w:t>á</w:t>
      </w:r>
      <w:r w:rsidRPr="001F512E">
        <w:rPr>
          <w:rFonts w:eastAsia="TimesNewRomanPSMT"/>
          <w:lang w:eastAsia="en-US"/>
        </w:rPr>
        <w:t>ny dočasně povolit nočn</w:t>
      </w:r>
      <w:r>
        <w:rPr>
          <w:rFonts w:eastAsia="TimesNewRomanPSMT"/>
          <w:lang w:eastAsia="en-US"/>
        </w:rPr>
        <w:t>í</w:t>
      </w:r>
      <w:r w:rsidRPr="001F512E">
        <w:rPr>
          <w:rFonts w:eastAsia="TimesNewRomanPSMT"/>
          <w:lang w:eastAsia="en-US"/>
        </w:rPr>
        <w:t xml:space="preserve"> hladinu hluku do 55 dB s t</w:t>
      </w:r>
      <w:r>
        <w:rPr>
          <w:rFonts w:eastAsia="TimesNewRomanPSMT"/>
          <w:lang w:eastAsia="en-US"/>
        </w:rPr>
        <w:t>í</w:t>
      </w:r>
      <w:r w:rsidRPr="001F512E">
        <w:rPr>
          <w:rFonts w:eastAsia="TimesNewRomanPSMT"/>
          <w:lang w:eastAsia="en-US"/>
        </w:rPr>
        <w:t>m, že</w:t>
      </w:r>
      <w:r>
        <w:rPr>
          <w:rFonts w:eastAsia="TimesNewRomanPSMT"/>
          <w:lang w:eastAsia="en-US"/>
        </w:rPr>
        <w:t xml:space="preserve"> </w:t>
      </w:r>
      <w:r w:rsidRPr="001F512E">
        <w:rPr>
          <w:rFonts w:eastAsia="TimesNewRomanPSMT"/>
          <w:lang w:eastAsia="en-US"/>
        </w:rPr>
        <w:t>napl</w:t>
      </w:r>
      <w:r>
        <w:rPr>
          <w:rFonts w:eastAsia="TimesNewRomanPSMT"/>
          <w:lang w:eastAsia="en-US"/>
        </w:rPr>
        <w:t>á</w:t>
      </w:r>
      <w:r w:rsidRPr="001F512E">
        <w:rPr>
          <w:rFonts w:eastAsia="TimesNewRomanPSMT"/>
          <w:lang w:eastAsia="en-US"/>
        </w:rPr>
        <w:t>novan</w:t>
      </w:r>
      <w:r>
        <w:rPr>
          <w:rFonts w:eastAsia="TimesNewRomanPSMT"/>
          <w:lang w:eastAsia="en-US"/>
        </w:rPr>
        <w:t xml:space="preserve">á </w:t>
      </w:r>
      <w:r w:rsidRPr="001F512E">
        <w:rPr>
          <w:rFonts w:eastAsia="TimesNewRomanPSMT"/>
          <w:lang w:eastAsia="en-US"/>
        </w:rPr>
        <w:t>opatřen</w:t>
      </w:r>
      <w:r>
        <w:rPr>
          <w:rFonts w:eastAsia="TimesNewRomanPSMT"/>
          <w:lang w:eastAsia="en-US"/>
        </w:rPr>
        <w:t>í</w:t>
      </w:r>
      <w:r w:rsidRPr="001F512E">
        <w:rPr>
          <w:rFonts w:eastAsia="TimesNewRomanPSMT"/>
          <w:lang w:eastAsia="en-US"/>
        </w:rPr>
        <w:t xml:space="preserve"> ke sn</w:t>
      </w:r>
      <w:r>
        <w:rPr>
          <w:rFonts w:eastAsia="TimesNewRomanPSMT"/>
          <w:lang w:eastAsia="en-US"/>
        </w:rPr>
        <w:t>í</w:t>
      </w:r>
      <w:r w:rsidRPr="001F512E">
        <w:rPr>
          <w:rFonts w:eastAsia="TimesNewRomanPSMT"/>
          <w:lang w:eastAsia="en-US"/>
        </w:rPr>
        <w:t>žen</w:t>
      </w:r>
      <w:r>
        <w:rPr>
          <w:rFonts w:eastAsia="TimesNewRomanPSMT"/>
          <w:lang w:eastAsia="en-US"/>
        </w:rPr>
        <w:t>í</w:t>
      </w:r>
      <w:r w:rsidRPr="001F512E">
        <w:rPr>
          <w:rFonts w:eastAsia="TimesNewRomanPSMT"/>
          <w:lang w:eastAsia="en-US"/>
        </w:rPr>
        <w:t xml:space="preserve"> hluku povedou v dohledn</w:t>
      </w:r>
      <w:r>
        <w:rPr>
          <w:rFonts w:eastAsia="TimesNewRomanPSMT"/>
          <w:lang w:eastAsia="en-US"/>
        </w:rPr>
        <w:t>é</w:t>
      </w:r>
      <w:r w:rsidRPr="001F512E">
        <w:rPr>
          <w:rFonts w:eastAsia="TimesNewRomanPSMT"/>
          <w:lang w:eastAsia="en-US"/>
        </w:rPr>
        <w:t xml:space="preserve"> době k c</w:t>
      </w:r>
      <w:r>
        <w:rPr>
          <w:rFonts w:eastAsia="TimesNewRomanPSMT"/>
          <w:lang w:eastAsia="en-US"/>
        </w:rPr>
        <w:t>í</w:t>
      </w:r>
      <w:r w:rsidRPr="001F512E">
        <w:rPr>
          <w:rFonts w:eastAsia="TimesNewRomanPSMT"/>
          <w:lang w:eastAsia="en-US"/>
        </w:rPr>
        <w:t>lov</w:t>
      </w:r>
      <w:r>
        <w:rPr>
          <w:rFonts w:eastAsia="TimesNewRomanPSMT"/>
          <w:lang w:eastAsia="en-US"/>
        </w:rPr>
        <w:t>é</w:t>
      </w:r>
      <w:r w:rsidRPr="001F512E">
        <w:rPr>
          <w:rFonts w:eastAsia="TimesNewRomanPSMT"/>
          <w:lang w:eastAsia="en-US"/>
        </w:rPr>
        <w:t xml:space="preserve"> hodnotě 40 dB.</w:t>
      </w:r>
    </w:p>
    <w:p w14:paraId="2681E2D1" w14:textId="77777777" w:rsidR="00391D60" w:rsidRPr="008072AB" w:rsidRDefault="00391D60" w:rsidP="00391D60">
      <w:pPr>
        <w:spacing w:before="120"/>
        <w:jc w:val="both"/>
        <w:rPr>
          <w:rFonts w:eastAsia="Batang"/>
        </w:rPr>
      </w:pPr>
      <w:r w:rsidRPr="008072AB">
        <w:rPr>
          <w:rFonts w:eastAsia="Batang"/>
        </w:rPr>
        <w:t>P</w:t>
      </w:r>
      <w:r w:rsidRPr="008072AB">
        <w:rPr>
          <w:rFonts w:eastAsia="TimesNewRoman"/>
        </w:rPr>
        <w:t>ř</w:t>
      </w:r>
      <w:r w:rsidRPr="008072AB">
        <w:rPr>
          <w:rFonts w:eastAsia="Batang"/>
        </w:rPr>
        <w:t>i obecné kvalitativní charakterizaci zdravotních ú</w:t>
      </w:r>
      <w:r w:rsidRPr="008072AB">
        <w:rPr>
          <w:rFonts w:eastAsia="TimesNewRoman"/>
        </w:rPr>
        <w:t>či</w:t>
      </w:r>
      <w:r w:rsidRPr="008072AB">
        <w:rPr>
          <w:rFonts w:eastAsia="Batang"/>
        </w:rPr>
        <w:t>nk</w:t>
      </w:r>
      <w:r w:rsidRPr="008072AB">
        <w:rPr>
          <w:rFonts w:eastAsia="TimesNewRoman"/>
        </w:rPr>
        <w:t xml:space="preserve">ů </w:t>
      </w:r>
      <w:r w:rsidRPr="008072AB">
        <w:rPr>
          <w:rFonts w:eastAsia="Batang"/>
        </w:rPr>
        <w:t>hluku je možné orienta</w:t>
      </w:r>
      <w:r w:rsidRPr="008072AB">
        <w:rPr>
          <w:rFonts w:eastAsia="TimesNewRoman"/>
        </w:rPr>
        <w:t>č</w:t>
      </w:r>
      <w:r w:rsidRPr="008072AB">
        <w:rPr>
          <w:rFonts w:eastAsia="Batang"/>
        </w:rPr>
        <w:t>n</w:t>
      </w:r>
      <w:r w:rsidRPr="008072AB">
        <w:rPr>
          <w:rFonts w:eastAsia="TimesNewRoman"/>
        </w:rPr>
        <w:t xml:space="preserve">ě </w:t>
      </w:r>
      <w:r w:rsidRPr="008072AB">
        <w:rPr>
          <w:rFonts w:eastAsia="Batang"/>
        </w:rPr>
        <w:t>vycházet z prahových hodnot hlukové expozice z venkovního prostoru pro ty nep</w:t>
      </w:r>
      <w:r w:rsidRPr="008072AB">
        <w:rPr>
          <w:rFonts w:eastAsia="TimesNewRoman"/>
        </w:rPr>
        <w:t>ř</w:t>
      </w:r>
      <w:r w:rsidRPr="008072AB">
        <w:rPr>
          <w:rFonts w:eastAsia="Batang"/>
        </w:rPr>
        <w:t>íznivé ú</w:t>
      </w:r>
      <w:r w:rsidRPr="008072AB">
        <w:rPr>
          <w:rFonts w:eastAsia="TimesNewRoman"/>
        </w:rPr>
        <w:t>č</w:t>
      </w:r>
      <w:r w:rsidRPr="008072AB">
        <w:rPr>
          <w:rFonts w:eastAsia="Batang"/>
        </w:rPr>
        <w:t>inky hluku, které se dnes považují za dostate</w:t>
      </w:r>
      <w:r w:rsidRPr="008072AB">
        <w:rPr>
          <w:rFonts w:eastAsia="TimesNewRoman"/>
        </w:rPr>
        <w:t>č</w:t>
      </w:r>
      <w:r w:rsidRPr="008072AB">
        <w:rPr>
          <w:rFonts w:eastAsia="Batang"/>
        </w:rPr>
        <w:t>n</w:t>
      </w:r>
      <w:r w:rsidRPr="008072AB">
        <w:rPr>
          <w:rFonts w:eastAsia="TimesNewRoman"/>
        </w:rPr>
        <w:t xml:space="preserve">ě </w:t>
      </w:r>
      <w:r w:rsidRPr="008072AB">
        <w:rPr>
          <w:rFonts w:eastAsia="Batang"/>
        </w:rPr>
        <w:t>prok</w:t>
      </w:r>
      <w:r>
        <w:rPr>
          <w:rFonts w:eastAsia="Batang"/>
        </w:rPr>
        <w:t>ázané. Tyto hodnoty vycházejí z </w:t>
      </w:r>
      <w:r w:rsidRPr="008072AB">
        <w:rPr>
          <w:rFonts w:eastAsia="Batang"/>
        </w:rPr>
        <w:t>výsledk</w:t>
      </w:r>
      <w:r w:rsidRPr="008072AB">
        <w:rPr>
          <w:rFonts w:eastAsia="TimesNewRoman"/>
        </w:rPr>
        <w:t xml:space="preserve">ů </w:t>
      </w:r>
      <w:r w:rsidRPr="008072AB">
        <w:rPr>
          <w:rFonts w:eastAsia="Batang"/>
        </w:rPr>
        <w:t xml:space="preserve">epidemiologických studií </w:t>
      </w:r>
      <w:r>
        <w:rPr>
          <w:rFonts w:eastAsia="Batang"/>
        </w:rPr>
        <w:t xml:space="preserve">i výše uvedených doporučení WHO </w:t>
      </w:r>
      <w:r w:rsidRPr="008072AB">
        <w:rPr>
          <w:rFonts w:eastAsia="Batang"/>
        </w:rPr>
        <w:t>a je možné je vztáhnout k v</w:t>
      </w:r>
      <w:r w:rsidRPr="008072AB">
        <w:rPr>
          <w:rFonts w:eastAsia="TimesNewRoman"/>
        </w:rPr>
        <w:t>ě</w:t>
      </w:r>
      <w:r w:rsidRPr="008072AB">
        <w:rPr>
          <w:rFonts w:eastAsia="Batang"/>
        </w:rPr>
        <w:t xml:space="preserve">tší </w:t>
      </w:r>
      <w:r w:rsidRPr="008072AB">
        <w:rPr>
          <w:rFonts w:eastAsia="TimesNewRoman"/>
        </w:rPr>
        <w:t>č</w:t>
      </w:r>
      <w:r>
        <w:rPr>
          <w:rFonts w:eastAsia="Batang"/>
        </w:rPr>
        <w:t>ásti populace s </w:t>
      </w:r>
      <w:r w:rsidRPr="008072AB">
        <w:rPr>
          <w:rFonts w:eastAsia="Batang"/>
        </w:rPr>
        <w:t>pr</w:t>
      </w:r>
      <w:r w:rsidRPr="008072AB">
        <w:rPr>
          <w:rFonts w:eastAsia="TimesNewRoman"/>
        </w:rPr>
        <w:t>ů</w:t>
      </w:r>
      <w:r w:rsidRPr="008072AB">
        <w:rPr>
          <w:rFonts w:eastAsia="Batang"/>
        </w:rPr>
        <w:t>m</w:t>
      </w:r>
      <w:r w:rsidRPr="008072AB">
        <w:rPr>
          <w:rFonts w:eastAsia="TimesNewRoman"/>
        </w:rPr>
        <w:t>ě</w:t>
      </w:r>
      <w:r w:rsidRPr="008072AB">
        <w:rPr>
          <w:rFonts w:eastAsia="Batang"/>
        </w:rPr>
        <w:t>rnou citlivostí v</w:t>
      </w:r>
      <w:r w:rsidRPr="008072AB">
        <w:rPr>
          <w:rFonts w:eastAsia="TimesNewRoman"/>
        </w:rPr>
        <w:t>ůč</w:t>
      </w:r>
      <w:r w:rsidRPr="008072AB">
        <w:rPr>
          <w:rFonts w:eastAsia="Batang"/>
        </w:rPr>
        <w:t>i ú</w:t>
      </w:r>
      <w:r w:rsidRPr="008072AB">
        <w:rPr>
          <w:rFonts w:eastAsia="TimesNewRoman"/>
        </w:rPr>
        <w:t>č</w:t>
      </w:r>
      <w:r w:rsidRPr="008072AB">
        <w:rPr>
          <w:rFonts w:eastAsia="Batang"/>
        </w:rPr>
        <w:t>ink</w:t>
      </w:r>
      <w:r w:rsidRPr="008072AB">
        <w:rPr>
          <w:rFonts w:eastAsia="TimesNewRoman"/>
        </w:rPr>
        <w:t>ů</w:t>
      </w:r>
      <w:r w:rsidRPr="008072AB">
        <w:rPr>
          <w:rFonts w:eastAsia="Batang"/>
        </w:rPr>
        <w:t>m hluku. S ohledem na individuální rozdíly v citlivosti je tedy t</w:t>
      </w:r>
      <w:r w:rsidRPr="008072AB">
        <w:rPr>
          <w:rFonts w:eastAsia="TimesNewRoman"/>
        </w:rPr>
        <w:t>ř</w:t>
      </w:r>
      <w:r w:rsidRPr="008072AB">
        <w:rPr>
          <w:rFonts w:eastAsia="Batang"/>
        </w:rPr>
        <w:t>eba p</w:t>
      </w:r>
      <w:r w:rsidRPr="008072AB">
        <w:rPr>
          <w:rFonts w:eastAsia="TimesNewRoman"/>
        </w:rPr>
        <w:t>ř</w:t>
      </w:r>
      <w:r w:rsidRPr="008072AB">
        <w:rPr>
          <w:rFonts w:eastAsia="Batang"/>
        </w:rPr>
        <w:t>edpokládat možnost t</w:t>
      </w:r>
      <w:r w:rsidRPr="008072AB">
        <w:rPr>
          <w:rFonts w:eastAsia="TimesNewRoman"/>
        </w:rPr>
        <w:t>ě</w:t>
      </w:r>
      <w:r w:rsidRPr="008072AB">
        <w:rPr>
          <w:rFonts w:eastAsia="Batang"/>
        </w:rPr>
        <w:t>chto ú</w:t>
      </w:r>
      <w:r w:rsidRPr="008072AB">
        <w:rPr>
          <w:rFonts w:eastAsia="TimesNewRoman"/>
        </w:rPr>
        <w:t>č</w:t>
      </w:r>
      <w:r w:rsidRPr="008072AB">
        <w:rPr>
          <w:rFonts w:eastAsia="Batang"/>
        </w:rPr>
        <w:t>ink</w:t>
      </w:r>
      <w:r w:rsidRPr="008072AB">
        <w:rPr>
          <w:rFonts w:eastAsia="TimesNewRoman"/>
        </w:rPr>
        <w:t xml:space="preserve">ů </w:t>
      </w:r>
      <w:r w:rsidRPr="008072AB">
        <w:rPr>
          <w:rFonts w:eastAsia="Batang"/>
        </w:rPr>
        <w:t>u citliv</w:t>
      </w:r>
      <w:r w:rsidRPr="008072AB">
        <w:rPr>
          <w:rFonts w:eastAsia="TimesNewRoman"/>
        </w:rPr>
        <w:t>ě</w:t>
      </w:r>
      <w:r w:rsidRPr="008072AB">
        <w:rPr>
          <w:rFonts w:eastAsia="Batang"/>
        </w:rPr>
        <w:t xml:space="preserve">jší </w:t>
      </w:r>
      <w:r w:rsidRPr="008072AB">
        <w:rPr>
          <w:rFonts w:eastAsia="TimesNewRoman"/>
        </w:rPr>
        <w:t>č</w:t>
      </w:r>
      <w:r w:rsidRPr="008072AB">
        <w:rPr>
          <w:rFonts w:eastAsia="Batang"/>
        </w:rPr>
        <w:t>ásti populace i p</w:t>
      </w:r>
      <w:r w:rsidRPr="008072AB">
        <w:rPr>
          <w:rFonts w:eastAsia="TimesNewRoman"/>
        </w:rPr>
        <w:t>ř</w:t>
      </w:r>
      <w:r w:rsidRPr="008072AB">
        <w:rPr>
          <w:rFonts w:eastAsia="Batang"/>
        </w:rPr>
        <w:t xml:space="preserve">i hladinách hluku nižších. </w:t>
      </w:r>
    </w:p>
    <w:p w14:paraId="5FE738CD" w14:textId="5B7BEA83" w:rsidR="00391D60" w:rsidRPr="00C076C4" w:rsidRDefault="00391D60" w:rsidP="00391D60">
      <w:pPr>
        <w:spacing w:before="120" w:after="120"/>
        <w:rPr>
          <w:b/>
        </w:rPr>
      </w:pPr>
      <w:r w:rsidRPr="00C076C4">
        <w:rPr>
          <w:b/>
        </w:rPr>
        <w:t xml:space="preserve">Tabulka </w:t>
      </w:r>
      <w:r w:rsidR="002E29EB">
        <w:rPr>
          <w:b/>
        </w:rPr>
        <w:t>3</w:t>
      </w:r>
      <w:r w:rsidRPr="00C076C4">
        <w:rPr>
          <w:b/>
        </w:rPr>
        <w:t>: Prokázané nepříznivé účinky hlukové zátěže – den</w:t>
      </w:r>
      <w:r>
        <w:rPr>
          <w:b/>
        </w:rPr>
        <w:t>ní doba</w:t>
      </w:r>
      <w:r w:rsidRPr="00C076C4">
        <w:rPr>
          <w:b/>
        </w:rPr>
        <w:t xml:space="preserve"> </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03"/>
        <w:gridCol w:w="803"/>
        <w:gridCol w:w="804"/>
        <w:gridCol w:w="803"/>
        <w:gridCol w:w="803"/>
        <w:gridCol w:w="804"/>
        <w:gridCol w:w="594"/>
      </w:tblGrid>
      <w:tr w:rsidR="00391D60" w:rsidRPr="008072AB" w14:paraId="5A2C8559" w14:textId="77777777" w:rsidTr="00391D60">
        <w:trPr>
          <w:tblHeader/>
        </w:trPr>
        <w:tc>
          <w:tcPr>
            <w:tcW w:w="3510" w:type="dxa"/>
            <w:tcBorders>
              <w:top w:val="double" w:sz="4" w:space="0" w:color="auto"/>
              <w:left w:val="double" w:sz="4" w:space="0" w:color="auto"/>
            </w:tcBorders>
          </w:tcPr>
          <w:p w14:paraId="447AF840" w14:textId="77777777" w:rsidR="00391D60" w:rsidRPr="008072AB" w:rsidRDefault="00391D60" w:rsidP="00391D60">
            <w:pPr>
              <w:pStyle w:val="Zkladntext"/>
            </w:pPr>
          </w:p>
        </w:tc>
        <w:tc>
          <w:tcPr>
            <w:tcW w:w="5414" w:type="dxa"/>
            <w:gridSpan w:val="7"/>
            <w:tcBorders>
              <w:top w:val="double" w:sz="4" w:space="0" w:color="auto"/>
              <w:right w:val="double" w:sz="4" w:space="0" w:color="auto"/>
            </w:tcBorders>
          </w:tcPr>
          <w:p w14:paraId="3C9278AE" w14:textId="77777777" w:rsidR="00391D60" w:rsidRPr="008072AB" w:rsidRDefault="00391D60" w:rsidP="00391D60">
            <w:pPr>
              <w:pStyle w:val="Zkladntext"/>
              <w:jc w:val="center"/>
            </w:pPr>
            <w:r w:rsidRPr="008072AB">
              <w:t>dB /A/</w:t>
            </w:r>
          </w:p>
        </w:tc>
      </w:tr>
      <w:tr w:rsidR="00391D60" w:rsidRPr="008072AB" w14:paraId="15ADF615" w14:textId="77777777" w:rsidTr="00391D60">
        <w:trPr>
          <w:tblHeader/>
        </w:trPr>
        <w:tc>
          <w:tcPr>
            <w:tcW w:w="3510" w:type="dxa"/>
            <w:tcBorders>
              <w:left w:val="double" w:sz="4" w:space="0" w:color="auto"/>
              <w:bottom w:val="single" w:sz="4" w:space="0" w:color="auto"/>
            </w:tcBorders>
          </w:tcPr>
          <w:p w14:paraId="790494E0" w14:textId="77777777" w:rsidR="00391D60" w:rsidRPr="008072AB" w:rsidRDefault="00391D60" w:rsidP="00391D60">
            <w:pPr>
              <w:pStyle w:val="Zkladntext"/>
            </w:pPr>
            <w:r w:rsidRPr="008072AB">
              <w:t>Nepříznivý účinek</w:t>
            </w:r>
          </w:p>
        </w:tc>
        <w:tc>
          <w:tcPr>
            <w:tcW w:w="803" w:type="dxa"/>
            <w:tcBorders>
              <w:bottom w:val="single" w:sz="4" w:space="0" w:color="auto"/>
            </w:tcBorders>
          </w:tcPr>
          <w:p w14:paraId="3FD044A5" w14:textId="77777777" w:rsidR="00391D60" w:rsidRPr="008072AB" w:rsidRDefault="00391D60" w:rsidP="00391D60">
            <w:pPr>
              <w:pStyle w:val="Zkladntext"/>
            </w:pPr>
            <w:r w:rsidRPr="008072AB">
              <w:t>40-45</w:t>
            </w:r>
          </w:p>
        </w:tc>
        <w:tc>
          <w:tcPr>
            <w:tcW w:w="803" w:type="dxa"/>
            <w:tcBorders>
              <w:bottom w:val="single" w:sz="4" w:space="0" w:color="auto"/>
            </w:tcBorders>
          </w:tcPr>
          <w:p w14:paraId="33E63DBE" w14:textId="77777777" w:rsidR="00391D60" w:rsidRPr="008072AB" w:rsidRDefault="00391D60" w:rsidP="00391D60">
            <w:pPr>
              <w:pStyle w:val="Zkladntext"/>
            </w:pPr>
            <w:r w:rsidRPr="008072AB">
              <w:t>45-50</w:t>
            </w:r>
          </w:p>
        </w:tc>
        <w:tc>
          <w:tcPr>
            <w:tcW w:w="804" w:type="dxa"/>
            <w:tcBorders>
              <w:bottom w:val="single" w:sz="4" w:space="0" w:color="auto"/>
            </w:tcBorders>
          </w:tcPr>
          <w:p w14:paraId="22DB66A9" w14:textId="77777777" w:rsidR="00391D60" w:rsidRPr="008072AB" w:rsidRDefault="00391D60" w:rsidP="00391D60">
            <w:pPr>
              <w:pStyle w:val="Zkladntext"/>
            </w:pPr>
            <w:r w:rsidRPr="008072AB">
              <w:t>50-55</w:t>
            </w:r>
          </w:p>
        </w:tc>
        <w:tc>
          <w:tcPr>
            <w:tcW w:w="803" w:type="dxa"/>
            <w:tcBorders>
              <w:bottom w:val="single" w:sz="4" w:space="0" w:color="auto"/>
            </w:tcBorders>
          </w:tcPr>
          <w:p w14:paraId="55FE238E" w14:textId="77777777" w:rsidR="00391D60" w:rsidRPr="008072AB" w:rsidRDefault="00391D60" w:rsidP="00391D60">
            <w:pPr>
              <w:pStyle w:val="Zkladntext"/>
            </w:pPr>
            <w:r w:rsidRPr="008072AB">
              <w:t>55-60</w:t>
            </w:r>
          </w:p>
        </w:tc>
        <w:tc>
          <w:tcPr>
            <w:tcW w:w="803" w:type="dxa"/>
            <w:tcBorders>
              <w:bottom w:val="single" w:sz="4" w:space="0" w:color="auto"/>
            </w:tcBorders>
          </w:tcPr>
          <w:p w14:paraId="11A6E757" w14:textId="77777777" w:rsidR="00391D60" w:rsidRPr="008072AB" w:rsidRDefault="00391D60" w:rsidP="00391D60">
            <w:pPr>
              <w:pStyle w:val="Zkladntext"/>
            </w:pPr>
            <w:r w:rsidRPr="008072AB">
              <w:t>60-65</w:t>
            </w:r>
          </w:p>
        </w:tc>
        <w:tc>
          <w:tcPr>
            <w:tcW w:w="804" w:type="dxa"/>
            <w:tcBorders>
              <w:bottom w:val="single" w:sz="4" w:space="0" w:color="auto"/>
            </w:tcBorders>
          </w:tcPr>
          <w:p w14:paraId="4B05A589" w14:textId="77777777" w:rsidR="00391D60" w:rsidRPr="008072AB" w:rsidRDefault="00391D60" w:rsidP="00391D60">
            <w:pPr>
              <w:pStyle w:val="Zkladntext"/>
            </w:pPr>
            <w:r w:rsidRPr="008072AB">
              <w:t>65-70</w:t>
            </w:r>
          </w:p>
        </w:tc>
        <w:tc>
          <w:tcPr>
            <w:tcW w:w="594" w:type="dxa"/>
            <w:tcBorders>
              <w:bottom w:val="single" w:sz="4" w:space="0" w:color="auto"/>
              <w:right w:val="double" w:sz="4" w:space="0" w:color="auto"/>
            </w:tcBorders>
          </w:tcPr>
          <w:p w14:paraId="32AC43B3" w14:textId="77777777" w:rsidR="00391D60" w:rsidRPr="008072AB" w:rsidRDefault="00391D60" w:rsidP="00391D60">
            <w:pPr>
              <w:pStyle w:val="Zkladntext"/>
            </w:pPr>
            <w:r w:rsidRPr="008072AB">
              <w:t>70+</w:t>
            </w:r>
          </w:p>
        </w:tc>
      </w:tr>
      <w:tr w:rsidR="00391D60" w:rsidRPr="008072AB" w14:paraId="5611E7F7" w14:textId="77777777" w:rsidTr="00391D60">
        <w:trPr>
          <w:tblHeader/>
        </w:trPr>
        <w:tc>
          <w:tcPr>
            <w:tcW w:w="3510" w:type="dxa"/>
            <w:tcBorders>
              <w:top w:val="single" w:sz="4" w:space="0" w:color="auto"/>
              <w:left w:val="double" w:sz="4" w:space="0" w:color="auto"/>
            </w:tcBorders>
          </w:tcPr>
          <w:p w14:paraId="4DC6451E" w14:textId="77777777" w:rsidR="00391D60" w:rsidRPr="008072AB" w:rsidRDefault="00391D60" w:rsidP="00391D60">
            <w:pPr>
              <w:pStyle w:val="Zkladntext"/>
              <w:rPr>
                <w:sz w:val="22"/>
                <w:szCs w:val="22"/>
              </w:rPr>
            </w:pPr>
            <w:r w:rsidRPr="008072AB">
              <w:rPr>
                <w:sz w:val="22"/>
                <w:szCs w:val="22"/>
              </w:rPr>
              <w:t>Sluchové postižení</w:t>
            </w:r>
            <w:r>
              <w:rPr>
                <w:sz w:val="22"/>
                <w:szCs w:val="22"/>
              </w:rPr>
              <w:t>*</w:t>
            </w:r>
          </w:p>
        </w:tc>
        <w:tc>
          <w:tcPr>
            <w:tcW w:w="803" w:type="dxa"/>
            <w:tcBorders>
              <w:top w:val="single" w:sz="4" w:space="0" w:color="auto"/>
            </w:tcBorders>
          </w:tcPr>
          <w:p w14:paraId="4A56604C" w14:textId="77777777" w:rsidR="00391D60" w:rsidRPr="008072AB" w:rsidRDefault="00391D60" w:rsidP="00391D60">
            <w:pPr>
              <w:pStyle w:val="Zkladntext"/>
            </w:pPr>
          </w:p>
        </w:tc>
        <w:tc>
          <w:tcPr>
            <w:tcW w:w="803" w:type="dxa"/>
            <w:tcBorders>
              <w:top w:val="single" w:sz="4" w:space="0" w:color="auto"/>
            </w:tcBorders>
          </w:tcPr>
          <w:p w14:paraId="6EB919A0" w14:textId="77777777" w:rsidR="00391D60" w:rsidRPr="008072AB" w:rsidRDefault="00391D60" w:rsidP="00391D60">
            <w:pPr>
              <w:pStyle w:val="Zkladntext"/>
            </w:pPr>
          </w:p>
        </w:tc>
        <w:tc>
          <w:tcPr>
            <w:tcW w:w="804" w:type="dxa"/>
            <w:tcBorders>
              <w:top w:val="single" w:sz="4" w:space="0" w:color="auto"/>
            </w:tcBorders>
          </w:tcPr>
          <w:p w14:paraId="4E18FD0B" w14:textId="77777777" w:rsidR="00391D60" w:rsidRPr="008072AB" w:rsidRDefault="00391D60" w:rsidP="00391D60">
            <w:pPr>
              <w:pStyle w:val="Zkladntext"/>
            </w:pPr>
          </w:p>
        </w:tc>
        <w:tc>
          <w:tcPr>
            <w:tcW w:w="803" w:type="dxa"/>
            <w:tcBorders>
              <w:top w:val="single" w:sz="4" w:space="0" w:color="auto"/>
            </w:tcBorders>
          </w:tcPr>
          <w:p w14:paraId="2FB07AD2" w14:textId="77777777" w:rsidR="00391D60" w:rsidRPr="008072AB" w:rsidRDefault="00391D60" w:rsidP="00391D60">
            <w:pPr>
              <w:pStyle w:val="Zkladntext"/>
            </w:pPr>
          </w:p>
        </w:tc>
        <w:tc>
          <w:tcPr>
            <w:tcW w:w="803" w:type="dxa"/>
            <w:tcBorders>
              <w:top w:val="single" w:sz="4" w:space="0" w:color="auto"/>
            </w:tcBorders>
          </w:tcPr>
          <w:p w14:paraId="20648C61" w14:textId="77777777" w:rsidR="00391D60" w:rsidRPr="008072AB" w:rsidRDefault="00391D60" w:rsidP="00391D60">
            <w:pPr>
              <w:pStyle w:val="Zkladntext"/>
            </w:pPr>
          </w:p>
        </w:tc>
        <w:tc>
          <w:tcPr>
            <w:tcW w:w="804" w:type="dxa"/>
            <w:tcBorders>
              <w:top w:val="single" w:sz="4" w:space="0" w:color="auto"/>
            </w:tcBorders>
            <w:shd w:val="clear" w:color="auto" w:fill="auto"/>
          </w:tcPr>
          <w:p w14:paraId="4C6A20A8" w14:textId="77777777" w:rsidR="00391D60" w:rsidRPr="008072AB" w:rsidRDefault="00391D60" w:rsidP="00391D60">
            <w:pPr>
              <w:pStyle w:val="Zkladntext"/>
            </w:pPr>
          </w:p>
        </w:tc>
        <w:tc>
          <w:tcPr>
            <w:tcW w:w="594" w:type="dxa"/>
            <w:tcBorders>
              <w:top w:val="single" w:sz="4" w:space="0" w:color="auto"/>
              <w:right w:val="double" w:sz="4" w:space="0" w:color="auto"/>
            </w:tcBorders>
            <w:shd w:val="clear" w:color="auto" w:fill="C0C0C0"/>
          </w:tcPr>
          <w:p w14:paraId="1E73A872" w14:textId="77777777" w:rsidR="00391D60" w:rsidRPr="008072AB" w:rsidRDefault="00391D60" w:rsidP="00391D60">
            <w:pPr>
              <w:pStyle w:val="Zkladntext"/>
              <w:rPr>
                <w:color w:val="C0C0C0"/>
                <w:highlight w:val="lightGray"/>
              </w:rPr>
            </w:pPr>
          </w:p>
        </w:tc>
      </w:tr>
      <w:tr w:rsidR="00391D60" w:rsidRPr="008072AB" w14:paraId="5CAF56D6" w14:textId="77777777" w:rsidTr="00391D60">
        <w:trPr>
          <w:tblHeader/>
        </w:trPr>
        <w:tc>
          <w:tcPr>
            <w:tcW w:w="3510" w:type="dxa"/>
            <w:tcBorders>
              <w:left w:val="double" w:sz="4" w:space="0" w:color="auto"/>
            </w:tcBorders>
          </w:tcPr>
          <w:p w14:paraId="07FCE4AC" w14:textId="77777777" w:rsidR="00391D60" w:rsidRPr="008072AB" w:rsidRDefault="00391D60" w:rsidP="00391D60">
            <w:pPr>
              <w:pStyle w:val="Zkladntext"/>
              <w:rPr>
                <w:sz w:val="22"/>
                <w:szCs w:val="22"/>
              </w:rPr>
            </w:pPr>
            <w:r w:rsidRPr="008072AB">
              <w:rPr>
                <w:sz w:val="22"/>
                <w:szCs w:val="22"/>
              </w:rPr>
              <w:t>Zhoršené osvojení řeči a čtení u dětí</w:t>
            </w:r>
          </w:p>
        </w:tc>
        <w:tc>
          <w:tcPr>
            <w:tcW w:w="803" w:type="dxa"/>
          </w:tcPr>
          <w:p w14:paraId="0BDD4A38" w14:textId="77777777" w:rsidR="00391D60" w:rsidRPr="008072AB" w:rsidRDefault="00391D60" w:rsidP="00391D60">
            <w:pPr>
              <w:pStyle w:val="Zkladntext"/>
            </w:pPr>
          </w:p>
        </w:tc>
        <w:tc>
          <w:tcPr>
            <w:tcW w:w="803" w:type="dxa"/>
          </w:tcPr>
          <w:p w14:paraId="4374EE81" w14:textId="77777777" w:rsidR="00391D60" w:rsidRPr="008072AB" w:rsidRDefault="00391D60" w:rsidP="00391D60">
            <w:pPr>
              <w:pStyle w:val="Zkladntext"/>
            </w:pPr>
          </w:p>
        </w:tc>
        <w:tc>
          <w:tcPr>
            <w:tcW w:w="804" w:type="dxa"/>
          </w:tcPr>
          <w:p w14:paraId="77EEB27C" w14:textId="77777777" w:rsidR="00391D60" w:rsidRPr="008072AB" w:rsidRDefault="00391D60" w:rsidP="00391D60">
            <w:pPr>
              <w:pStyle w:val="Zkladntext"/>
            </w:pPr>
          </w:p>
        </w:tc>
        <w:tc>
          <w:tcPr>
            <w:tcW w:w="803" w:type="dxa"/>
          </w:tcPr>
          <w:p w14:paraId="1B424745" w14:textId="77777777" w:rsidR="00391D60" w:rsidRPr="008072AB" w:rsidRDefault="00391D60" w:rsidP="00391D60">
            <w:pPr>
              <w:pStyle w:val="Zkladntext"/>
            </w:pPr>
          </w:p>
        </w:tc>
        <w:tc>
          <w:tcPr>
            <w:tcW w:w="803" w:type="dxa"/>
          </w:tcPr>
          <w:p w14:paraId="58B4DE3C" w14:textId="77777777" w:rsidR="00391D60" w:rsidRPr="008072AB" w:rsidRDefault="00391D60" w:rsidP="00391D60">
            <w:pPr>
              <w:pStyle w:val="Zkladntext"/>
            </w:pPr>
          </w:p>
        </w:tc>
        <w:tc>
          <w:tcPr>
            <w:tcW w:w="804" w:type="dxa"/>
            <w:shd w:val="clear" w:color="auto" w:fill="auto"/>
          </w:tcPr>
          <w:p w14:paraId="2DBE782B" w14:textId="77777777" w:rsidR="00391D60" w:rsidRPr="008072AB" w:rsidRDefault="00391D60" w:rsidP="00391D60">
            <w:pPr>
              <w:pStyle w:val="Zkladntext"/>
            </w:pPr>
          </w:p>
        </w:tc>
        <w:tc>
          <w:tcPr>
            <w:tcW w:w="594" w:type="dxa"/>
            <w:tcBorders>
              <w:right w:val="double" w:sz="4" w:space="0" w:color="auto"/>
            </w:tcBorders>
            <w:shd w:val="clear" w:color="auto" w:fill="C0C0C0"/>
          </w:tcPr>
          <w:p w14:paraId="7F14D153" w14:textId="77777777" w:rsidR="00391D60" w:rsidRPr="008072AB" w:rsidRDefault="00391D60" w:rsidP="00391D60">
            <w:pPr>
              <w:pStyle w:val="Zkladntext"/>
              <w:rPr>
                <w:color w:val="C0C0C0"/>
                <w:highlight w:val="lightGray"/>
              </w:rPr>
            </w:pPr>
          </w:p>
        </w:tc>
      </w:tr>
      <w:tr w:rsidR="00391D60" w:rsidRPr="008072AB" w14:paraId="2CEFC4F4" w14:textId="77777777" w:rsidTr="00391D60">
        <w:trPr>
          <w:tblHeader/>
        </w:trPr>
        <w:tc>
          <w:tcPr>
            <w:tcW w:w="3510" w:type="dxa"/>
            <w:tcBorders>
              <w:left w:val="double" w:sz="4" w:space="0" w:color="auto"/>
            </w:tcBorders>
          </w:tcPr>
          <w:p w14:paraId="4DA328FB" w14:textId="77777777" w:rsidR="00391D60" w:rsidRPr="008072AB" w:rsidRDefault="00391D60" w:rsidP="00391D60">
            <w:pPr>
              <w:pStyle w:val="Zkladntext"/>
              <w:rPr>
                <w:sz w:val="22"/>
                <w:szCs w:val="22"/>
              </w:rPr>
            </w:pPr>
            <w:r w:rsidRPr="008072AB">
              <w:rPr>
                <w:sz w:val="22"/>
                <w:szCs w:val="22"/>
              </w:rPr>
              <w:t>Ischemická choroba srdeční</w:t>
            </w:r>
          </w:p>
        </w:tc>
        <w:tc>
          <w:tcPr>
            <w:tcW w:w="803" w:type="dxa"/>
          </w:tcPr>
          <w:p w14:paraId="07680BD7" w14:textId="77777777" w:rsidR="00391D60" w:rsidRPr="008072AB" w:rsidRDefault="00391D60" w:rsidP="00391D60">
            <w:pPr>
              <w:pStyle w:val="Zkladntext"/>
            </w:pPr>
          </w:p>
        </w:tc>
        <w:tc>
          <w:tcPr>
            <w:tcW w:w="803" w:type="dxa"/>
          </w:tcPr>
          <w:p w14:paraId="3D9AE4BD" w14:textId="77777777" w:rsidR="00391D60" w:rsidRPr="008072AB" w:rsidRDefault="00391D60" w:rsidP="00391D60">
            <w:pPr>
              <w:pStyle w:val="Zkladntext"/>
            </w:pPr>
          </w:p>
        </w:tc>
        <w:tc>
          <w:tcPr>
            <w:tcW w:w="804" w:type="dxa"/>
          </w:tcPr>
          <w:p w14:paraId="7A45F1E3" w14:textId="77777777" w:rsidR="00391D60" w:rsidRPr="008072AB" w:rsidRDefault="00391D60" w:rsidP="00391D60">
            <w:pPr>
              <w:pStyle w:val="Zkladntext"/>
            </w:pPr>
          </w:p>
        </w:tc>
        <w:tc>
          <w:tcPr>
            <w:tcW w:w="803" w:type="dxa"/>
          </w:tcPr>
          <w:p w14:paraId="685D7963" w14:textId="77777777" w:rsidR="00391D60" w:rsidRPr="008072AB" w:rsidRDefault="00391D60" w:rsidP="00391D60">
            <w:pPr>
              <w:pStyle w:val="Zkladntext"/>
            </w:pPr>
          </w:p>
        </w:tc>
        <w:tc>
          <w:tcPr>
            <w:tcW w:w="803" w:type="dxa"/>
          </w:tcPr>
          <w:p w14:paraId="6506C8C4" w14:textId="77777777" w:rsidR="00391D60" w:rsidRPr="008072AB" w:rsidRDefault="00391D60" w:rsidP="00391D60">
            <w:pPr>
              <w:pStyle w:val="Zkladntext"/>
            </w:pPr>
          </w:p>
        </w:tc>
        <w:tc>
          <w:tcPr>
            <w:tcW w:w="804" w:type="dxa"/>
            <w:shd w:val="clear" w:color="auto" w:fill="C0C0C0"/>
          </w:tcPr>
          <w:p w14:paraId="5051066E" w14:textId="77777777" w:rsidR="00391D60" w:rsidRPr="008072AB" w:rsidRDefault="00391D60" w:rsidP="00391D60">
            <w:pPr>
              <w:pStyle w:val="Zkladntext"/>
            </w:pPr>
          </w:p>
        </w:tc>
        <w:tc>
          <w:tcPr>
            <w:tcW w:w="594" w:type="dxa"/>
            <w:tcBorders>
              <w:right w:val="double" w:sz="4" w:space="0" w:color="auto"/>
            </w:tcBorders>
            <w:shd w:val="clear" w:color="auto" w:fill="C0C0C0"/>
          </w:tcPr>
          <w:p w14:paraId="4F709422" w14:textId="77777777" w:rsidR="00391D60" w:rsidRPr="008072AB" w:rsidRDefault="00391D60" w:rsidP="00391D60">
            <w:pPr>
              <w:pStyle w:val="Zkladntext"/>
              <w:rPr>
                <w:color w:val="C0C0C0"/>
                <w:highlight w:val="lightGray"/>
              </w:rPr>
            </w:pPr>
          </w:p>
        </w:tc>
      </w:tr>
      <w:tr w:rsidR="00391D60" w:rsidRPr="008072AB" w14:paraId="49E3900A" w14:textId="77777777" w:rsidTr="00391D60">
        <w:trPr>
          <w:tblHeader/>
        </w:trPr>
        <w:tc>
          <w:tcPr>
            <w:tcW w:w="3510" w:type="dxa"/>
            <w:tcBorders>
              <w:left w:val="double" w:sz="4" w:space="0" w:color="auto"/>
            </w:tcBorders>
          </w:tcPr>
          <w:p w14:paraId="05638E00" w14:textId="77777777" w:rsidR="00391D60" w:rsidRPr="008072AB" w:rsidRDefault="00391D60" w:rsidP="00391D60">
            <w:pPr>
              <w:pStyle w:val="Zkladntext"/>
              <w:rPr>
                <w:sz w:val="22"/>
                <w:szCs w:val="22"/>
              </w:rPr>
            </w:pPr>
            <w:r w:rsidRPr="008072AB">
              <w:rPr>
                <w:sz w:val="22"/>
                <w:szCs w:val="22"/>
              </w:rPr>
              <w:t>Zhoršená komunikace řečí</w:t>
            </w:r>
          </w:p>
        </w:tc>
        <w:tc>
          <w:tcPr>
            <w:tcW w:w="803" w:type="dxa"/>
          </w:tcPr>
          <w:p w14:paraId="574B42CE" w14:textId="77777777" w:rsidR="00391D60" w:rsidRPr="008072AB" w:rsidRDefault="00391D60" w:rsidP="00391D60">
            <w:pPr>
              <w:pStyle w:val="Zkladntext"/>
            </w:pPr>
          </w:p>
        </w:tc>
        <w:tc>
          <w:tcPr>
            <w:tcW w:w="803" w:type="dxa"/>
          </w:tcPr>
          <w:p w14:paraId="7D4ECA80" w14:textId="77777777" w:rsidR="00391D60" w:rsidRPr="008072AB" w:rsidRDefault="00391D60" w:rsidP="00391D60">
            <w:pPr>
              <w:pStyle w:val="Zkladntext"/>
            </w:pPr>
          </w:p>
        </w:tc>
        <w:tc>
          <w:tcPr>
            <w:tcW w:w="804" w:type="dxa"/>
          </w:tcPr>
          <w:p w14:paraId="52BB7F65" w14:textId="77777777" w:rsidR="00391D60" w:rsidRPr="008072AB" w:rsidRDefault="00391D60" w:rsidP="00391D60">
            <w:pPr>
              <w:pStyle w:val="Zkladntext"/>
            </w:pPr>
          </w:p>
        </w:tc>
        <w:tc>
          <w:tcPr>
            <w:tcW w:w="803" w:type="dxa"/>
            <w:shd w:val="clear" w:color="auto" w:fill="C0C0C0"/>
          </w:tcPr>
          <w:p w14:paraId="7E1318EF" w14:textId="77777777" w:rsidR="00391D60" w:rsidRPr="008072AB" w:rsidRDefault="00391D60" w:rsidP="00391D60">
            <w:pPr>
              <w:pStyle w:val="Zkladntext"/>
            </w:pPr>
          </w:p>
        </w:tc>
        <w:tc>
          <w:tcPr>
            <w:tcW w:w="803" w:type="dxa"/>
            <w:shd w:val="clear" w:color="auto" w:fill="C0C0C0"/>
          </w:tcPr>
          <w:p w14:paraId="3DB08176" w14:textId="77777777" w:rsidR="00391D60" w:rsidRPr="008072AB" w:rsidRDefault="00391D60" w:rsidP="00391D60">
            <w:pPr>
              <w:pStyle w:val="Zkladntext"/>
              <w:rPr>
                <w:highlight w:val="lightGray"/>
              </w:rPr>
            </w:pPr>
          </w:p>
        </w:tc>
        <w:tc>
          <w:tcPr>
            <w:tcW w:w="804" w:type="dxa"/>
            <w:shd w:val="clear" w:color="auto" w:fill="C0C0C0"/>
          </w:tcPr>
          <w:p w14:paraId="3763506D" w14:textId="77777777" w:rsidR="00391D60" w:rsidRPr="008072AB" w:rsidRDefault="00391D60" w:rsidP="00391D60">
            <w:pPr>
              <w:pStyle w:val="Zkladntext"/>
              <w:rPr>
                <w:highlight w:val="lightGray"/>
              </w:rPr>
            </w:pPr>
          </w:p>
        </w:tc>
        <w:tc>
          <w:tcPr>
            <w:tcW w:w="594" w:type="dxa"/>
            <w:tcBorders>
              <w:right w:val="double" w:sz="4" w:space="0" w:color="auto"/>
            </w:tcBorders>
            <w:shd w:val="clear" w:color="auto" w:fill="C0C0C0"/>
          </w:tcPr>
          <w:p w14:paraId="78114727" w14:textId="77777777" w:rsidR="00391D60" w:rsidRPr="008072AB" w:rsidRDefault="00391D60" w:rsidP="00391D60">
            <w:pPr>
              <w:pStyle w:val="Zkladntext"/>
              <w:rPr>
                <w:highlight w:val="lightGray"/>
              </w:rPr>
            </w:pPr>
          </w:p>
        </w:tc>
      </w:tr>
      <w:tr w:rsidR="00391D60" w:rsidRPr="008072AB" w14:paraId="13735535" w14:textId="77777777" w:rsidTr="00391D60">
        <w:trPr>
          <w:tblHeader/>
        </w:trPr>
        <w:tc>
          <w:tcPr>
            <w:tcW w:w="3510" w:type="dxa"/>
            <w:tcBorders>
              <w:left w:val="double" w:sz="4" w:space="0" w:color="auto"/>
            </w:tcBorders>
          </w:tcPr>
          <w:p w14:paraId="3A19A6A0" w14:textId="77777777" w:rsidR="00391D60" w:rsidRPr="008072AB" w:rsidRDefault="00391D60" w:rsidP="00391D60">
            <w:pPr>
              <w:pStyle w:val="Zkladntext"/>
              <w:rPr>
                <w:sz w:val="22"/>
                <w:szCs w:val="22"/>
              </w:rPr>
            </w:pPr>
            <w:r w:rsidRPr="008072AB">
              <w:rPr>
                <w:sz w:val="22"/>
                <w:szCs w:val="22"/>
              </w:rPr>
              <w:t>Pocit silného obtěžování</w:t>
            </w:r>
          </w:p>
        </w:tc>
        <w:tc>
          <w:tcPr>
            <w:tcW w:w="803" w:type="dxa"/>
          </w:tcPr>
          <w:p w14:paraId="051A1D8C" w14:textId="77777777" w:rsidR="00391D60" w:rsidRPr="008072AB" w:rsidRDefault="00391D60" w:rsidP="00391D60">
            <w:pPr>
              <w:pStyle w:val="Zkladntext"/>
            </w:pPr>
          </w:p>
        </w:tc>
        <w:tc>
          <w:tcPr>
            <w:tcW w:w="803" w:type="dxa"/>
          </w:tcPr>
          <w:p w14:paraId="55EC3A08" w14:textId="77777777" w:rsidR="00391D60" w:rsidRPr="008072AB" w:rsidRDefault="00391D60" w:rsidP="00391D60">
            <w:pPr>
              <w:pStyle w:val="Zkladntext"/>
            </w:pPr>
          </w:p>
        </w:tc>
        <w:tc>
          <w:tcPr>
            <w:tcW w:w="804" w:type="dxa"/>
          </w:tcPr>
          <w:p w14:paraId="627B2B42" w14:textId="77777777" w:rsidR="00391D60" w:rsidRPr="008072AB" w:rsidRDefault="00391D60" w:rsidP="00391D60">
            <w:pPr>
              <w:pStyle w:val="Zkladntext"/>
            </w:pPr>
          </w:p>
        </w:tc>
        <w:tc>
          <w:tcPr>
            <w:tcW w:w="803" w:type="dxa"/>
            <w:shd w:val="clear" w:color="auto" w:fill="C0C0C0"/>
          </w:tcPr>
          <w:p w14:paraId="2A376176" w14:textId="77777777" w:rsidR="00391D60" w:rsidRPr="008072AB" w:rsidRDefault="00391D60" w:rsidP="00391D60">
            <w:pPr>
              <w:pStyle w:val="Zkladntext"/>
            </w:pPr>
          </w:p>
        </w:tc>
        <w:tc>
          <w:tcPr>
            <w:tcW w:w="803" w:type="dxa"/>
            <w:shd w:val="clear" w:color="auto" w:fill="C0C0C0"/>
          </w:tcPr>
          <w:p w14:paraId="29A2C795" w14:textId="77777777" w:rsidR="00391D60" w:rsidRPr="008072AB" w:rsidRDefault="00391D60" w:rsidP="00391D60">
            <w:pPr>
              <w:pStyle w:val="Zkladntext"/>
            </w:pPr>
          </w:p>
        </w:tc>
        <w:tc>
          <w:tcPr>
            <w:tcW w:w="804" w:type="dxa"/>
            <w:shd w:val="clear" w:color="auto" w:fill="C0C0C0"/>
          </w:tcPr>
          <w:p w14:paraId="64CF5F31" w14:textId="77777777" w:rsidR="00391D60" w:rsidRPr="008072AB" w:rsidRDefault="00391D60" w:rsidP="00391D60">
            <w:pPr>
              <w:pStyle w:val="Zkladntext"/>
            </w:pPr>
          </w:p>
        </w:tc>
        <w:tc>
          <w:tcPr>
            <w:tcW w:w="594" w:type="dxa"/>
            <w:tcBorders>
              <w:right w:val="double" w:sz="4" w:space="0" w:color="auto"/>
            </w:tcBorders>
            <w:shd w:val="clear" w:color="auto" w:fill="C0C0C0"/>
          </w:tcPr>
          <w:p w14:paraId="0283C042" w14:textId="77777777" w:rsidR="00391D60" w:rsidRPr="008072AB" w:rsidRDefault="00391D60" w:rsidP="00391D60">
            <w:pPr>
              <w:pStyle w:val="Zkladntext"/>
              <w:rPr>
                <w:highlight w:val="darkGray"/>
              </w:rPr>
            </w:pPr>
          </w:p>
        </w:tc>
      </w:tr>
      <w:tr w:rsidR="00391D60" w:rsidRPr="008072AB" w14:paraId="02F0253B" w14:textId="77777777" w:rsidTr="00391D60">
        <w:trPr>
          <w:tblHeader/>
        </w:trPr>
        <w:tc>
          <w:tcPr>
            <w:tcW w:w="3510" w:type="dxa"/>
            <w:tcBorders>
              <w:left w:val="double" w:sz="4" w:space="0" w:color="auto"/>
              <w:bottom w:val="double" w:sz="4" w:space="0" w:color="auto"/>
            </w:tcBorders>
          </w:tcPr>
          <w:p w14:paraId="4A9892B2" w14:textId="77777777" w:rsidR="00391D60" w:rsidRPr="008072AB" w:rsidRDefault="00391D60" w:rsidP="00391D60">
            <w:pPr>
              <w:pStyle w:val="Zkladntext"/>
              <w:rPr>
                <w:sz w:val="22"/>
                <w:szCs w:val="22"/>
              </w:rPr>
            </w:pPr>
            <w:r w:rsidRPr="008072AB">
              <w:rPr>
                <w:sz w:val="22"/>
                <w:szCs w:val="22"/>
              </w:rPr>
              <w:t>Pocit mírného obtěžování</w:t>
            </w:r>
          </w:p>
        </w:tc>
        <w:tc>
          <w:tcPr>
            <w:tcW w:w="803" w:type="dxa"/>
            <w:tcBorders>
              <w:bottom w:val="double" w:sz="4" w:space="0" w:color="auto"/>
            </w:tcBorders>
          </w:tcPr>
          <w:p w14:paraId="5A40893C" w14:textId="77777777" w:rsidR="00391D60" w:rsidRPr="008072AB" w:rsidRDefault="00391D60" w:rsidP="00391D60">
            <w:pPr>
              <w:pStyle w:val="Zkladntext"/>
            </w:pPr>
          </w:p>
        </w:tc>
        <w:tc>
          <w:tcPr>
            <w:tcW w:w="803" w:type="dxa"/>
            <w:tcBorders>
              <w:bottom w:val="double" w:sz="4" w:space="0" w:color="auto"/>
            </w:tcBorders>
          </w:tcPr>
          <w:p w14:paraId="78DDA314" w14:textId="77777777" w:rsidR="00391D60" w:rsidRPr="008072AB" w:rsidRDefault="00391D60" w:rsidP="00391D60">
            <w:pPr>
              <w:pStyle w:val="Zkladntext"/>
            </w:pPr>
          </w:p>
        </w:tc>
        <w:tc>
          <w:tcPr>
            <w:tcW w:w="804" w:type="dxa"/>
            <w:tcBorders>
              <w:bottom w:val="double" w:sz="4" w:space="0" w:color="auto"/>
            </w:tcBorders>
            <w:shd w:val="clear" w:color="auto" w:fill="C0C0C0"/>
          </w:tcPr>
          <w:p w14:paraId="69C61FC3" w14:textId="77777777" w:rsidR="00391D60" w:rsidRPr="008072AB" w:rsidRDefault="00391D60" w:rsidP="00391D60">
            <w:pPr>
              <w:pStyle w:val="Zkladntext"/>
            </w:pPr>
          </w:p>
        </w:tc>
        <w:tc>
          <w:tcPr>
            <w:tcW w:w="803" w:type="dxa"/>
            <w:tcBorders>
              <w:bottom w:val="double" w:sz="4" w:space="0" w:color="auto"/>
            </w:tcBorders>
            <w:shd w:val="clear" w:color="auto" w:fill="C0C0C0"/>
          </w:tcPr>
          <w:p w14:paraId="70BD7273" w14:textId="77777777" w:rsidR="00391D60" w:rsidRPr="008072AB" w:rsidRDefault="00391D60" w:rsidP="00391D60">
            <w:pPr>
              <w:pStyle w:val="Zkladntext"/>
            </w:pPr>
          </w:p>
        </w:tc>
        <w:tc>
          <w:tcPr>
            <w:tcW w:w="803" w:type="dxa"/>
            <w:tcBorders>
              <w:bottom w:val="double" w:sz="4" w:space="0" w:color="auto"/>
            </w:tcBorders>
            <w:shd w:val="clear" w:color="auto" w:fill="C0C0C0"/>
          </w:tcPr>
          <w:p w14:paraId="2EDC9439" w14:textId="77777777" w:rsidR="00391D60" w:rsidRPr="008072AB" w:rsidRDefault="00391D60" w:rsidP="00391D60">
            <w:pPr>
              <w:pStyle w:val="Zkladntext"/>
              <w:rPr>
                <w:highlight w:val="lightGray"/>
              </w:rPr>
            </w:pPr>
          </w:p>
        </w:tc>
        <w:tc>
          <w:tcPr>
            <w:tcW w:w="804" w:type="dxa"/>
            <w:tcBorders>
              <w:bottom w:val="double" w:sz="4" w:space="0" w:color="auto"/>
            </w:tcBorders>
            <w:shd w:val="clear" w:color="auto" w:fill="C0C0C0"/>
          </w:tcPr>
          <w:p w14:paraId="5F2F1EA7" w14:textId="77777777" w:rsidR="00391D60" w:rsidRPr="008072AB" w:rsidRDefault="00391D60" w:rsidP="00391D60">
            <w:pPr>
              <w:pStyle w:val="Zkladntext"/>
              <w:rPr>
                <w:highlight w:val="lightGray"/>
              </w:rPr>
            </w:pPr>
          </w:p>
        </w:tc>
        <w:tc>
          <w:tcPr>
            <w:tcW w:w="594" w:type="dxa"/>
            <w:tcBorders>
              <w:bottom w:val="double" w:sz="4" w:space="0" w:color="auto"/>
              <w:right w:val="double" w:sz="4" w:space="0" w:color="auto"/>
            </w:tcBorders>
            <w:shd w:val="clear" w:color="auto" w:fill="C0C0C0"/>
          </w:tcPr>
          <w:p w14:paraId="2DB7E59B" w14:textId="77777777" w:rsidR="00391D60" w:rsidRPr="008072AB" w:rsidRDefault="00391D60" w:rsidP="00391D60">
            <w:pPr>
              <w:pStyle w:val="Zkladntext"/>
              <w:rPr>
                <w:highlight w:val="lightGray"/>
              </w:rPr>
            </w:pPr>
          </w:p>
        </w:tc>
      </w:tr>
    </w:tbl>
    <w:p w14:paraId="51D10B92" w14:textId="77777777" w:rsidR="00391D60" w:rsidRDefault="00391D60" w:rsidP="00391D60">
      <w:pPr>
        <w:rPr>
          <w:rFonts w:eastAsiaTheme="minorHAnsi"/>
          <w:sz w:val="22"/>
          <w:szCs w:val="22"/>
          <w:lang w:eastAsia="en-US"/>
        </w:rPr>
      </w:pPr>
      <w:r>
        <w:rPr>
          <w:rFonts w:eastAsiaTheme="minorHAnsi"/>
          <w:sz w:val="22"/>
          <w:szCs w:val="22"/>
          <w:lang w:eastAsia="en-US"/>
        </w:rPr>
        <w:t>* p</w:t>
      </w:r>
      <w:r>
        <w:rPr>
          <w:rFonts w:ascii="TimesNewRoman" w:eastAsia="TimesNewRoman" w:cs="TimesNewRoman" w:hint="eastAsia"/>
          <w:sz w:val="22"/>
          <w:szCs w:val="22"/>
          <w:lang w:eastAsia="en-US"/>
        </w:rPr>
        <w:t>ř</w:t>
      </w:r>
      <w:r>
        <w:rPr>
          <w:rFonts w:eastAsiaTheme="minorHAnsi"/>
          <w:sz w:val="22"/>
          <w:szCs w:val="22"/>
          <w:lang w:eastAsia="en-US"/>
        </w:rPr>
        <w:t>ímá expozice hluku v interiéru</w:t>
      </w:r>
    </w:p>
    <w:p w14:paraId="5BB5B04A" w14:textId="2E91D2A0" w:rsidR="00391D60" w:rsidRPr="00C076C4" w:rsidRDefault="00391D60" w:rsidP="00391D60">
      <w:pPr>
        <w:spacing w:before="120" w:after="120"/>
        <w:rPr>
          <w:b/>
        </w:rPr>
      </w:pPr>
      <w:r w:rsidRPr="00C076C4">
        <w:rPr>
          <w:b/>
        </w:rPr>
        <w:t xml:space="preserve">Tabulka </w:t>
      </w:r>
      <w:r w:rsidR="002E29EB">
        <w:rPr>
          <w:b/>
        </w:rPr>
        <w:t>4</w:t>
      </w:r>
      <w:r w:rsidRPr="00C076C4">
        <w:rPr>
          <w:b/>
        </w:rPr>
        <w:t xml:space="preserve">: Prokázané nepříznivé účinky hlukové zátěže – noc </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878"/>
        <w:gridCol w:w="274"/>
        <w:gridCol w:w="605"/>
        <w:gridCol w:w="879"/>
        <w:gridCol w:w="879"/>
        <w:gridCol w:w="879"/>
        <w:gridCol w:w="594"/>
      </w:tblGrid>
      <w:tr w:rsidR="00391D60" w:rsidRPr="008072AB" w14:paraId="72AD8779" w14:textId="77777777" w:rsidTr="00391D60">
        <w:tc>
          <w:tcPr>
            <w:tcW w:w="3936" w:type="dxa"/>
            <w:tcBorders>
              <w:top w:val="double" w:sz="4" w:space="0" w:color="auto"/>
              <w:left w:val="double" w:sz="4" w:space="0" w:color="auto"/>
              <w:bottom w:val="single" w:sz="4" w:space="0" w:color="auto"/>
            </w:tcBorders>
          </w:tcPr>
          <w:p w14:paraId="6438E5F7" w14:textId="77777777" w:rsidR="00391D60" w:rsidRPr="008072AB" w:rsidRDefault="00391D60" w:rsidP="00391D60">
            <w:pPr>
              <w:pStyle w:val="Zkladntext"/>
            </w:pPr>
          </w:p>
        </w:tc>
        <w:tc>
          <w:tcPr>
            <w:tcW w:w="4988" w:type="dxa"/>
            <w:gridSpan w:val="7"/>
            <w:tcBorders>
              <w:top w:val="double" w:sz="4" w:space="0" w:color="auto"/>
              <w:bottom w:val="single" w:sz="4" w:space="0" w:color="auto"/>
              <w:right w:val="double" w:sz="4" w:space="0" w:color="auto"/>
            </w:tcBorders>
          </w:tcPr>
          <w:p w14:paraId="75DB21D3" w14:textId="77777777" w:rsidR="00391D60" w:rsidRPr="008072AB" w:rsidRDefault="00391D60" w:rsidP="00391D60">
            <w:pPr>
              <w:pStyle w:val="Zkladntext"/>
              <w:jc w:val="center"/>
            </w:pPr>
            <w:r w:rsidRPr="008072AB">
              <w:t>dB /A/</w:t>
            </w:r>
          </w:p>
        </w:tc>
      </w:tr>
      <w:tr w:rsidR="00391D60" w:rsidRPr="008072AB" w14:paraId="0A1C57BF" w14:textId="77777777" w:rsidTr="00391D60">
        <w:tc>
          <w:tcPr>
            <w:tcW w:w="3936" w:type="dxa"/>
            <w:tcBorders>
              <w:left w:val="double" w:sz="4" w:space="0" w:color="auto"/>
              <w:bottom w:val="single" w:sz="4" w:space="0" w:color="auto"/>
            </w:tcBorders>
          </w:tcPr>
          <w:p w14:paraId="0633157C" w14:textId="77777777" w:rsidR="00391D60" w:rsidRPr="008072AB" w:rsidRDefault="00391D60" w:rsidP="00391D60">
            <w:pPr>
              <w:pStyle w:val="Zkladntext"/>
            </w:pPr>
            <w:r w:rsidRPr="008072AB">
              <w:t>Nepříznivý účinek</w:t>
            </w:r>
          </w:p>
        </w:tc>
        <w:tc>
          <w:tcPr>
            <w:tcW w:w="878" w:type="dxa"/>
            <w:tcBorders>
              <w:bottom w:val="single" w:sz="4" w:space="0" w:color="auto"/>
            </w:tcBorders>
          </w:tcPr>
          <w:p w14:paraId="70CBF881" w14:textId="77777777" w:rsidR="00391D60" w:rsidRPr="008072AB" w:rsidRDefault="00391D60" w:rsidP="00391D60">
            <w:pPr>
              <w:pStyle w:val="Zkladntext"/>
            </w:pPr>
            <w:r w:rsidRPr="008072AB">
              <w:t>35-40</w:t>
            </w:r>
          </w:p>
        </w:tc>
        <w:tc>
          <w:tcPr>
            <w:tcW w:w="879" w:type="dxa"/>
            <w:gridSpan w:val="2"/>
            <w:tcBorders>
              <w:bottom w:val="single" w:sz="4" w:space="0" w:color="auto"/>
            </w:tcBorders>
          </w:tcPr>
          <w:p w14:paraId="5C09717C" w14:textId="77777777" w:rsidR="00391D60" w:rsidRPr="008072AB" w:rsidRDefault="00391D60" w:rsidP="00391D60">
            <w:pPr>
              <w:pStyle w:val="Zkladntext"/>
            </w:pPr>
            <w:r w:rsidRPr="008072AB">
              <w:t>40-45</w:t>
            </w:r>
          </w:p>
        </w:tc>
        <w:tc>
          <w:tcPr>
            <w:tcW w:w="879" w:type="dxa"/>
            <w:tcBorders>
              <w:bottom w:val="single" w:sz="4" w:space="0" w:color="auto"/>
            </w:tcBorders>
          </w:tcPr>
          <w:p w14:paraId="71538F5D" w14:textId="77777777" w:rsidR="00391D60" w:rsidRPr="008072AB" w:rsidRDefault="00391D60" w:rsidP="00391D60">
            <w:pPr>
              <w:pStyle w:val="Zkladntext"/>
            </w:pPr>
            <w:r w:rsidRPr="008072AB">
              <w:t>45-50</w:t>
            </w:r>
          </w:p>
        </w:tc>
        <w:tc>
          <w:tcPr>
            <w:tcW w:w="879" w:type="dxa"/>
            <w:tcBorders>
              <w:bottom w:val="single" w:sz="4" w:space="0" w:color="auto"/>
            </w:tcBorders>
          </w:tcPr>
          <w:p w14:paraId="2DAFE383" w14:textId="77777777" w:rsidR="00391D60" w:rsidRPr="008072AB" w:rsidRDefault="00391D60" w:rsidP="00391D60">
            <w:pPr>
              <w:pStyle w:val="Zkladntext"/>
            </w:pPr>
            <w:r w:rsidRPr="008072AB">
              <w:t>50-55</w:t>
            </w:r>
          </w:p>
        </w:tc>
        <w:tc>
          <w:tcPr>
            <w:tcW w:w="879" w:type="dxa"/>
            <w:tcBorders>
              <w:bottom w:val="single" w:sz="4" w:space="0" w:color="auto"/>
            </w:tcBorders>
          </w:tcPr>
          <w:p w14:paraId="4FB7F4D3" w14:textId="77777777" w:rsidR="00391D60" w:rsidRPr="008072AB" w:rsidRDefault="00391D60" w:rsidP="00391D60">
            <w:pPr>
              <w:pStyle w:val="Zkladntext"/>
            </w:pPr>
            <w:r w:rsidRPr="008072AB">
              <w:t>55-60</w:t>
            </w:r>
          </w:p>
        </w:tc>
        <w:tc>
          <w:tcPr>
            <w:tcW w:w="594" w:type="dxa"/>
            <w:tcBorders>
              <w:bottom w:val="single" w:sz="4" w:space="0" w:color="auto"/>
              <w:right w:val="double" w:sz="4" w:space="0" w:color="auto"/>
            </w:tcBorders>
          </w:tcPr>
          <w:p w14:paraId="5F38337E" w14:textId="77777777" w:rsidR="00391D60" w:rsidRPr="008072AB" w:rsidRDefault="00391D60" w:rsidP="00391D60">
            <w:pPr>
              <w:pStyle w:val="Zkladntext"/>
            </w:pPr>
            <w:r w:rsidRPr="008072AB">
              <w:t>60+</w:t>
            </w:r>
          </w:p>
        </w:tc>
      </w:tr>
      <w:tr w:rsidR="00391D60" w:rsidRPr="008072AB" w14:paraId="2AC683A4" w14:textId="77777777" w:rsidTr="00391D60">
        <w:tc>
          <w:tcPr>
            <w:tcW w:w="3936" w:type="dxa"/>
            <w:tcBorders>
              <w:top w:val="single" w:sz="4" w:space="0" w:color="auto"/>
              <w:left w:val="double" w:sz="4" w:space="0" w:color="auto"/>
            </w:tcBorders>
          </w:tcPr>
          <w:p w14:paraId="7C5EEE3C" w14:textId="77777777" w:rsidR="00391D60" w:rsidRPr="008072AB" w:rsidRDefault="00391D60" w:rsidP="00391D60">
            <w:pPr>
              <w:pStyle w:val="Zkladntext"/>
              <w:rPr>
                <w:sz w:val="22"/>
                <w:szCs w:val="22"/>
              </w:rPr>
            </w:pPr>
            <w:r>
              <w:rPr>
                <w:sz w:val="22"/>
                <w:szCs w:val="22"/>
              </w:rPr>
              <w:t>Psychické poruchy*</w:t>
            </w:r>
          </w:p>
        </w:tc>
        <w:tc>
          <w:tcPr>
            <w:tcW w:w="878" w:type="dxa"/>
            <w:tcBorders>
              <w:top w:val="single" w:sz="4" w:space="0" w:color="auto"/>
            </w:tcBorders>
          </w:tcPr>
          <w:p w14:paraId="60E6684F" w14:textId="77777777" w:rsidR="00391D60" w:rsidRPr="008072AB" w:rsidRDefault="00391D60" w:rsidP="00391D60">
            <w:pPr>
              <w:pStyle w:val="Zkladntext"/>
              <w:rPr>
                <w:b/>
              </w:rPr>
            </w:pPr>
          </w:p>
        </w:tc>
        <w:tc>
          <w:tcPr>
            <w:tcW w:w="879" w:type="dxa"/>
            <w:gridSpan w:val="2"/>
            <w:tcBorders>
              <w:top w:val="single" w:sz="4" w:space="0" w:color="auto"/>
            </w:tcBorders>
          </w:tcPr>
          <w:p w14:paraId="023C89ED" w14:textId="77777777" w:rsidR="00391D60" w:rsidRPr="008072AB" w:rsidRDefault="00391D60" w:rsidP="00391D60">
            <w:pPr>
              <w:pStyle w:val="Zkladntext"/>
              <w:rPr>
                <w:b/>
              </w:rPr>
            </w:pPr>
          </w:p>
        </w:tc>
        <w:tc>
          <w:tcPr>
            <w:tcW w:w="879" w:type="dxa"/>
            <w:tcBorders>
              <w:top w:val="single" w:sz="4" w:space="0" w:color="auto"/>
            </w:tcBorders>
          </w:tcPr>
          <w:p w14:paraId="6783F9CD" w14:textId="77777777" w:rsidR="00391D60" w:rsidRPr="008072AB" w:rsidRDefault="00391D60" w:rsidP="00391D60">
            <w:pPr>
              <w:pStyle w:val="Zkladntext"/>
              <w:rPr>
                <w:b/>
              </w:rPr>
            </w:pPr>
          </w:p>
        </w:tc>
        <w:tc>
          <w:tcPr>
            <w:tcW w:w="879" w:type="dxa"/>
            <w:tcBorders>
              <w:top w:val="single" w:sz="4" w:space="0" w:color="auto"/>
            </w:tcBorders>
          </w:tcPr>
          <w:p w14:paraId="4D1309DC" w14:textId="77777777" w:rsidR="00391D60" w:rsidRPr="008072AB" w:rsidRDefault="00391D60" w:rsidP="00391D60">
            <w:pPr>
              <w:pStyle w:val="Zkladntext"/>
              <w:rPr>
                <w:b/>
              </w:rPr>
            </w:pPr>
          </w:p>
        </w:tc>
        <w:tc>
          <w:tcPr>
            <w:tcW w:w="879" w:type="dxa"/>
            <w:tcBorders>
              <w:top w:val="single" w:sz="4" w:space="0" w:color="auto"/>
            </w:tcBorders>
          </w:tcPr>
          <w:p w14:paraId="6E6E2C56" w14:textId="77777777" w:rsidR="00391D60" w:rsidRPr="008072AB" w:rsidRDefault="00391D60" w:rsidP="00391D60">
            <w:pPr>
              <w:pStyle w:val="Zkladntext"/>
              <w:rPr>
                <w:b/>
              </w:rPr>
            </w:pPr>
          </w:p>
        </w:tc>
        <w:tc>
          <w:tcPr>
            <w:tcW w:w="594" w:type="dxa"/>
            <w:tcBorders>
              <w:top w:val="single" w:sz="4" w:space="0" w:color="auto"/>
              <w:right w:val="double" w:sz="4" w:space="0" w:color="auto"/>
            </w:tcBorders>
            <w:shd w:val="clear" w:color="auto" w:fill="C0C0C0"/>
          </w:tcPr>
          <w:p w14:paraId="13A7E345" w14:textId="77777777" w:rsidR="00391D60" w:rsidRPr="008072AB" w:rsidRDefault="00391D60" w:rsidP="00391D60">
            <w:pPr>
              <w:pStyle w:val="Zkladntext"/>
              <w:rPr>
                <w:b/>
              </w:rPr>
            </w:pPr>
          </w:p>
        </w:tc>
      </w:tr>
      <w:tr w:rsidR="00391D60" w:rsidRPr="008072AB" w14:paraId="5AABB2AF" w14:textId="77777777" w:rsidTr="00391D60">
        <w:tc>
          <w:tcPr>
            <w:tcW w:w="3936" w:type="dxa"/>
            <w:tcBorders>
              <w:top w:val="single" w:sz="4" w:space="0" w:color="auto"/>
              <w:left w:val="double" w:sz="4" w:space="0" w:color="auto"/>
            </w:tcBorders>
          </w:tcPr>
          <w:p w14:paraId="1CB4FF8D" w14:textId="77777777" w:rsidR="00391D60" w:rsidRPr="005A47A5" w:rsidRDefault="00391D60" w:rsidP="00391D60">
            <w:pPr>
              <w:pStyle w:val="Zkladntext"/>
              <w:rPr>
                <w:sz w:val="22"/>
                <w:szCs w:val="22"/>
              </w:rPr>
            </w:pPr>
            <w:r w:rsidRPr="005A47A5">
              <w:rPr>
                <w:rFonts w:eastAsiaTheme="minorHAnsi"/>
                <w:sz w:val="22"/>
                <w:szCs w:val="22"/>
                <w:lang w:eastAsia="en-US"/>
              </w:rPr>
              <w:t>Hypertenze a infarkt myokardu *</w:t>
            </w:r>
          </w:p>
        </w:tc>
        <w:tc>
          <w:tcPr>
            <w:tcW w:w="878" w:type="dxa"/>
            <w:tcBorders>
              <w:top w:val="single" w:sz="4" w:space="0" w:color="auto"/>
            </w:tcBorders>
          </w:tcPr>
          <w:p w14:paraId="66BC76F2" w14:textId="77777777" w:rsidR="00391D60" w:rsidRPr="008072AB" w:rsidRDefault="00391D60" w:rsidP="00391D60">
            <w:pPr>
              <w:pStyle w:val="Zkladntext"/>
              <w:rPr>
                <w:b/>
              </w:rPr>
            </w:pPr>
          </w:p>
        </w:tc>
        <w:tc>
          <w:tcPr>
            <w:tcW w:w="879" w:type="dxa"/>
            <w:gridSpan w:val="2"/>
            <w:tcBorders>
              <w:top w:val="single" w:sz="4" w:space="0" w:color="auto"/>
            </w:tcBorders>
          </w:tcPr>
          <w:p w14:paraId="672C20FE" w14:textId="77777777" w:rsidR="00391D60" w:rsidRPr="008072AB" w:rsidRDefault="00391D60" w:rsidP="00391D60">
            <w:pPr>
              <w:pStyle w:val="Zkladntext"/>
              <w:rPr>
                <w:b/>
              </w:rPr>
            </w:pPr>
          </w:p>
        </w:tc>
        <w:tc>
          <w:tcPr>
            <w:tcW w:w="879" w:type="dxa"/>
            <w:tcBorders>
              <w:top w:val="single" w:sz="4" w:space="0" w:color="auto"/>
            </w:tcBorders>
          </w:tcPr>
          <w:p w14:paraId="22FA8C83" w14:textId="77777777" w:rsidR="00391D60" w:rsidRPr="008072AB" w:rsidRDefault="00391D60" w:rsidP="00391D60">
            <w:pPr>
              <w:pStyle w:val="Zkladntext"/>
              <w:rPr>
                <w:b/>
              </w:rPr>
            </w:pPr>
          </w:p>
        </w:tc>
        <w:tc>
          <w:tcPr>
            <w:tcW w:w="879" w:type="dxa"/>
            <w:tcBorders>
              <w:top w:val="single" w:sz="4" w:space="0" w:color="auto"/>
            </w:tcBorders>
            <w:shd w:val="clear" w:color="auto" w:fill="BFBFBF" w:themeFill="background1" w:themeFillShade="BF"/>
          </w:tcPr>
          <w:p w14:paraId="00ED4813" w14:textId="77777777" w:rsidR="00391D60" w:rsidRPr="008072AB" w:rsidRDefault="00391D60" w:rsidP="00391D60">
            <w:pPr>
              <w:pStyle w:val="Zkladntext"/>
              <w:rPr>
                <w:b/>
              </w:rPr>
            </w:pPr>
          </w:p>
        </w:tc>
        <w:tc>
          <w:tcPr>
            <w:tcW w:w="879" w:type="dxa"/>
            <w:tcBorders>
              <w:top w:val="single" w:sz="4" w:space="0" w:color="auto"/>
            </w:tcBorders>
            <w:shd w:val="clear" w:color="auto" w:fill="BFBFBF" w:themeFill="background1" w:themeFillShade="BF"/>
          </w:tcPr>
          <w:p w14:paraId="29F2A325" w14:textId="77777777" w:rsidR="00391D60" w:rsidRPr="008072AB" w:rsidRDefault="00391D60" w:rsidP="00391D60">
            <w:pPr>
              <w:pStyle w:val="Zkladntext"/>
              <w:rPr>
                <w:b/>
              </w:rPr>
            </w:pPr>
          </w:p>
        </w:tc>
        <w:tc>
          <w:tcPr>
            <w:tcW w:w="594" w:type="dxa"/>
            <w:tcBorders>
              <w:top w:val="single" w:sz="4" w:space="0" w:color="auto"/>
              <w:right w:val="double" w:sz="4" w:space="0" w:color="auto"/>
            </w:tcBorders>
            <w:shd w:val="clear" w:color="auto" w:fill="C0C0C0"/>
          </w:tcPr>
          <w:p w14:paraId="5C699CA8" w14:textId="77777777" w:rsidR="00391D60" w:rsidRPr="008072AB" w:rsidRDefault="00391D60" w:rsidP="00391D60">
            <w:pPr>
              <w:pStyle w:val="Zkladntext"/>
              <w:rPr>
                <w:b/>
              </w:rPr>
            </w:pPr>
          </w:p>
        </w:tc>
      </w:tr>
      <w:tr w:rsidR="00391D60" w:rsidRPr="008072AB" w14:paraId="56870746" w14:textId="77777777" w:rsidTr="00391D60">
        <w:tc>
          <w:tcPr>
            <w:tcW w:w="3936" w:type="dxa"/>
            <w:tcBorders>
              <w:left w:val="double" w:sz="4" w:space="0" w:color="auto"/>
            </w:tcBorders>
          </w:tcPr>
          <w:p w14:paraId="07F2B70C" w14:textId="77777777" w:rsidR="00391D60" w:rsidRPr="008072AB" w:rsidRDefault="00391D60" w:rsidP="00391D60">
            <w:pPr>
              <w:pStyle w:val="Zkladntext"/>
              <w:rPr>
                <w:sz w:val="22"/>
                <w:szCs w:val="22"/>
              </w:rPr>
            </w:pPr>
            <w:r w:rsidRPr="008072AB">
              <w:rPr>
                <w:sz w:val="22"/>
                <w:szCs w:val="22"/>
              </w:rPr>
              <w:t xml:space="preserve">Vnímaná horší kvalita spánku </w:t>
            </w:r>
          </w:p>
        </w:tc>
        <w:tc>
          <w:tcPr>
            <w:tcW w:w="878" w:type="dxa"/>
          </w:tcPr>
          <w:p w14:paraId="0565082D" w14:textId="77777777" w:rsidR="00391D60" w:rsidRPr="008072AB" w:rsidRDefault="00391D60" w:rsidP="00391D60">
            <w:pPr>
              <w:pStyle w:val="Zkladntext"/>
            </w:pPr>
          </w:p>
        </w:tc>
        <w:tc>
          <w:tcPr>
            <w:tcW w:w="274" w:type="dxa"/>
            <w:shd w:val="clear" w:color="auto" w:fill="auto"/>
          </w:tcPr>
          <w:p w14:paraId="0FF75E66" w14:textId="77777777" w:rsidR="00391D60" w:rsidRPr="008072AB" w:rsidRDefault="00391D60" w:rsidP="00391D60">
            <w:pPr>
              <w:pStyle w:val="Zkladntext"/>
            </w:pPr>
          </w:p>
        </w:tc>
        <w:tc>
          <w:tcPr>
            <w:tcW w:w="605" w:type="dxa"/>
            <w:shd w:val="clear" w:color="auto" w:fill="BFBFBF" w:themeFill="background1" w:themeFillShade="BF"/>
          </w:tcPr>
          <w:p w14:paraId="1FED1D70" w14:textId="77777777" w:rsidR="00391D60" w:rsidRPr="008072AB" w:rsidRDefault="00391D60" w:rsidP="00391D60">
            <w:pPr>
              <w:pStyle w:val="Zkladntext"/>
            </w:pPr>
          </w:p>
        </w:tc>
        <w:tc>
          <w:tcPr>
            <w:tcW w:w="879" w:type="dxa"/>
            <w:shd w:val="clear" w:color="auto" w:fill="BFBFBF" w:themeFill="background1" w:themeFillShade="BF"/>
          </w:tcPr>
          <w:p w14:paraId="668F15DF" w14:textId="77777777" w:rsidR="00391D60" w:rsidRPr="008072AB" w:rsidRDefault="00391D60" w:rsidP="00391D60">
            <w:pPr>
              <w:pStyle w:val="Zkladntext"/>
              <w:rPr>
                <w:highlight w:val="lightGray"/>
              </w:rPr>
            </w:pPr>
          </w:p>
        </w:tc>
        <w:tc>
          <w:tcPr>
            <w:tcW w:w="879" w:type="dxa"/>
            <w:shd w:val="clear" w:color="auto" w:fill="C0C0C0"/>
          </w:tcPr>
          <w:p w14:paraId="1A46F118" w14:textId="77777777" w:rsidR="00391D60" w:rsidRPr="008072AB" w:rsidRDefault="00391D60" w:rsidP="00391D60">
            <w:pPr>
              <w:pStyle w:val="Zkladntext"/>
              <w:rPr>
                <w:highlight w:val="lightGray"/>
              </w:rPr>
            </w:pPr>
          </w:p>
        </w:tc>
        <w:tc>
          <w:tcPr>
            <w:tcW w:w="879" w:type="dxa"/>
            <w:shd w:val="clear" w:color="auto" w:fill="C0C0C0"/>
          </w:tcPr>
          <w:p w14:paraId="2E9BDA78" w14:textId="77777777" w:rsidR="00391D60" w:rsidRPr="008072AB" w:rsidRDefault="00391D60" w:rsidP="00391D60">
            <w:pPr>
              <w:pStyle w:val="Zkladntext"/>
              <w:rPr>
                <w:highlight w:val="lightGray"/>
              </w:rPr>
            </w:pPr>
          </w:p>
        </w:tc>
        <w:tc>
          <w:tcPr>
            <w:tcW w:w="594" w:type="dxa"/>
            <w:tcBorders>
              <w:right w:val="double" w:sz="4" w:space="0" w:color="auto"/>
            </w:tcBorders>
            <w:shd w:val="clear" w:color="auto" w:fill="C0C0C0"/>
          </w:tcPr>
          <w:p w14:paraId="2C1902A4" w14:textId="77777777" w:rsidR="00391D60" w:rsidRPr="008072AB" w:rsidRDefault="00391D60" w:rsidP="00391D60">
            <w:pPr>
              <w:pStyle w:val="Zkladntext"/>
              <w:rPr>
                <w:highlight w:val="lightGray"/>
              </w:rPr>
            </w:pPr>
          </w:p>
        </w:tc>
      </w:tr>
      <w:tr w:rsidR="00391D60" w:rsidRPr="008072AB" w14:paraId="37D2BF86" w14:textId="77777777" w:rsidTr="00391D60">
        <w:tc>
          <w:tcPr>
            <w:tcW w:w="3936" w:type="dxa"/>
            <w:tcBorders>
              <w:left w:val="double" w:sz="4" w:space="0" w:color="auto"/>
            </w:tcBorders>
          </w:tcPr>
          <w:p w14:paraId="152EDD07" w14:textId="77777777" w:rsidR="00391D60" w:rsidRPr="008072AB" w:rsidRDefault="00391D60" w:rsidP="00391D60">
            <w:pPr>
              <w:pStyle w:val="Zkladntext"/>
              <w:rPr>
                <w:sz w:val="22"/>
                <w:szCs w:val="22"/>
              </w:rPr>
            </w:pPr>
            <w:r w:rsidRPr="008072AB">
              <w:rPr>
                <w:sz w:val="22"/>
                <w:szCs w:val="22"/>
              </w:rPr>
              <w:t>Zvýšené užívání sedativ</w:t>
            </w:r>
          </w:p>
        </w:tc>
        <w:tc>
          <w:tcPr>
            <w:tcW w:w="878" w:type="dxa"/>
          </w:tcPr>
          <w:p w14:paraId="41E20BCB" w14:textId="77777777" w:rsidR="00391D60" w:rsidRPr="008072AB" w:rsidRDefault="00391D60" w:rsidP="00391D60">
            <w:pPr>
              <w:pStyle w:val="Zkladntext"/>
            </w:pPr>
          </w:p>
        </w:tc>
        <w:tc>
          <w:tcPr>
            <w:tcW w:w="879" w:type="dxa"/>
            <w:gridSpan w:val="2"/>
            <w:shd w:val="clear" w:color="auto" w:fill="C0C0C0"/>
          </w:tcPr>
          <w:p w14:paraId="17EB31B5" w14:textId="77777777" w:rsidR="00391D60" w:rsidRPr="008072AB" w:rsidRDefault="00391D60" w:rsidP="00391D60">
            <w:pPr>
              <w:pStyle w:val="Zkladntext"/>
            </w:pPr>
          </w:p>
        </w:tc>
        <w:tc>
          <w:tcPr>
            <w:tcW w:w="879" w:type="dxa"/>
            <w:shd w:val="clear" w:color="auto" w:fill="C0C0C0"/>
          </w:tcPr>
          <w:p w14:paraId="34DEA0C1" w14:textId="77777777" w:rsidR="00391D60" w:rsidRPr="008072AB" w:rsidRDefault="00391D60" w:rsidP="00391D60">
            <w:pPr>
              <w:pStyle w:val="Zkladntext"/>
            </w:pPr>
          </w:p>
        </w:tc>
        <w:tc>
          <w:tcPr>
            <w:tcW w:w="879" w:type="dxa"/>
            <w:shd w:val="clear" w:color="auto" w:fill="C0C0C0"/>
          </w:tcPr>
          <w:p w14:paraId="5BC9E833" w14:textId="77777777" w:rsidR="00391D60" w:rsidRPr="008072AB" w:rsidRDefault="00391D60" w:rsidP="00391D60">
            <w:pPr>
              <w:pStyle w:val="Zkladntext"/>
            </w:pPr>
          </w:p>
        </w:tc>
        <w:tc>
          <w:tcPr>
            <w:tcW w:w="879" w:type="dxa"/>
            <w:shd w:val="clear" w:color="auto" w:fill="C0C0C0"/>
          </w:tcPr>
          <w:p w14:paraId="6BDDCF6E" w14:textId="77777777" w:rsidR="00391D60" w:rsidRPr="008072AB" w:rsidRDefault="00391D60" w:rsidP="00391D60">
            <w:pPr>
              <w:pStyle w:val="Zkladntext"/>
              <w:rPr>
                <w:highlight w:val="lightGray"/>
              </w:rPr>
            </w:pPr>
          </w:p>
        </w:tc>
        <w:tc>
          <w:tcPr>
            <w:tcW w:w="594" w:type="dxa"/>
            <w:tcBorders>
              <w:right w:val="double" w:sz="4" w:space="0" w:color="auto"/>
            </w:tcBorders>
            <w:shd w:val="clear" w:color="auto" w:fill="C0C0C0"/>
          </w:tcPr>
          <w:p w14:paraId="376BA62C" w14:textId="77777777" w:rsidR="00391D60" w:rsidRPr="008072AB" w:rsidRDefault="00391D60" w:rsidP="00391D60">
            <w:pPr>
              <w:pStyle w:val="Zkladntext"/>
              <w:rPr>
                <w:highlight w:val="lightGray"/>
              </w:rPr>
            </w:pPr>
          </w:p>
        </w:tc>
      </w:tr>
      <w:tr w:rsidR="00391D60" w:rsidRPr="008072AB" w14:paraId="3756D8EF" w14:textId="77777777" w:rsidTr="00391D60">
        <w:tc>
          <w:tcPr>
            <w:tcW w:w="3936" w:type="dxa"/>
            <w:tcBorders>
              <w:left w:val="double" w:sz="4" w:space="0" w:color="auto"/>
              <w:bottom w:val="double" w:sz="4" w:space="0" w:color="auto"/>
            </w:tcBorders>
          </w:tcPr>
          <w:p w14:paraId="2B0A53D8" w14:textId="77777777" w:rsidR="00391D60" w:rsidRPr="008072AB" w:rsidRDefault="00391D60" w:rsidP="00391D60">
            <w:pPr>
              <w:pStyle w:val="Zkladntext"/>
              <w:rPr>
                <w:sz w:val="22"/>
                <w:szCs w:val="22"/>
              </w:rPr>
            </w:pPr>
            <w:r w:rsidRPr="008072AB">
              <w:rPr>
                <w:sz w:val="22"/>
                <w:szCs w:val="22"/>
              </w:rPr>
              <w:t>Pocit obtěžování hlukem</w:t>
            </w:r>
          </w:p>
        </w:tc>
        <w:tc>
          <w:tcPr>
            <w:tcW w:w="878" w:type="dxa"/>
            <w:tcBorders>
              <w:bottom w:val="double" w:sz="4" w:space="0" w:color="auto"/>
            </w:tcBorders>
          </w:tcPr>
          <w:p w14:paraId="463F48FB" w14:textId="77777777" w:rsidR="00391D60" w:rsidRPr="008072AB" w:rsidRDefault="00391D60" w:rsidP="00391D60">
            <w:pPr>
              <w:pStyle w:val="Zkladntext"/>
            </w:pPr>
          </w:p>
        </w:tc>
        <w:tc>
          <w:tcPr>
            <w:tcW w:w="879" w:type="dxa"/>
            <w:gridSpan w:val="2"/>
            <w:tcBorders>
              <w:bottom w:val="double" w:sz="4" w:space="0" w:color="auto"/>
            </w:tcBorders>
            <w:shd w:val="clear" w:color="auto" w:fill="C0C0C0"/>
          </w:tcPr>
          <w:p w14:paraId="04DF91EA" w14:textId="77777777" w:rsidR="00391D60" w:rsidRPr="008072AB" w:rsidRDefault="00391D60" w:rsidP="00391D60">
            <w:pPr>
              <w:pStyle w:val="Zkladntext"/>
            </w:pPr>
          </w:p>
        </w:tc>
        <w:tc>
          <w:tcPr>
            <w:tcW w:w="879" w:type="dxa"/>
            <w:tcBorders>
              <w:bottom w:val="double" w:sz="4" w:space="0" w:color="auto"/>
            </w:tcBorders>
            <w:shd w:val="clear" w:color="auto" w:fill="C0C0C0"/>
          </w:tcPr>
          <w:p w14:paraId="0FED717D" w14:textId="77777777" w:rsidR="00391D60" w:rsidRPr="008072AB" w:rsidRDefault="00391D60" w:rsidP="00391D60">
            <w:pPr>
              <w:pStyle w:val="Zkladntext"/>
            </w:pPr>
          </w:p>
        </w:tc>
        <w:tc>
          <w:tcPr>
            <w:tcW w:w="879" w:type="dxa"/>
            <w:tcBorders>
              <w:bottom w:val="double" w:sz="4" w:space="0" w:color="auto"/>
            </w:tcBorders>
            <w:shd w:val="clear" w:color="auto" w:fill="C0C0C0"/>
          </w:tcPr>
          <w:p w14:paraId="232773B9" w14:textId="77777777" w:rsidR="00391D60" w:rsidRPr="008072AB" w:rsidRDefault="00391D60" w:rsidP="00391D60">
            <w:pPr>
              <w:pStyle w:val="Zkladntext"/>
            </w:pPr>
          </w:p>
        </w:tc>
        <w:tc>
          <w:tcPr>
            <w:tcW w:w="879" w:type="dxa"/>
            <w:tcBorders>
              <w:bottom w:val="double" w:sz="4" w:space="0" w:color="auto"/>
            </w:tcBorders>
            <w:shd w:val="clear" w:color="auto" w:fill="C0C0C0"/>
          </w:tcPr>
          <w:p w14:paraId="3B8F333C" w14:textId="77777777" w:rsidR="00391D60" w:rsidRPr="008072AB" w:rsidRDefault="00391D60" w:rsidP="00391D60">
            <w:pPr>
              <w:pStyle w:val="Zkladntext"/>
            </w:pPr>
          </w:p>
        </w:tc>
        <w:tc>
          <w:tcPr>
            <w:tcW w:w="594" w:type="dxa"/>
            <w:tcBorders>
              <w:bottom w:val="double" w:sz="4" w:space="0" w:color="auto"/>
              <w:right w:val="double" w:sz="4" w:space="0" w:color="auto"/>
            </w:tcBorders>
            <w:shd w:val="clear" w:color="auto" w:fill="C0C0C0"/>
          </w:tcPr>
          <w:p w14:paraId="7FAD5305" w14:textId="77777777" w:rsidR="00391D60" w:rsidRPr="008072AB" w:rsidRDefault="00391D60" w:rsidP="00391D60">
            <w:pPr>
              <w:pStyle w:val="Zkladntext"/>
            </w:pPr>
          </w:p>
        </w:tc>
      </w:tr>
    </w:tbl>
    <w:p w14:paraId="19CD14E1" w14:textId="77777777" w:rsidR="00391D60" w:rsidRDefault="00391D60" w:rsidP="00391D60">
      <w:pPr>
        <w:pStyle w:val="Default"/>
        <w:spacing w:line="280" w:lineRule="atLeast"/>
        <w:jc w:val="both"/>
      </w:pPr>
      <w:r>
        <w:rPr>
          <w:rFonts w:eastAsiaTheme="minorHAnsi"/>
          <w:sz w:val="22"/>
          <w:szCs w:val="22"/>
          <w:lang w:eastAsia="en-US"/>
        </w:rPr>
        <w:t>*</w:t>
      </w:r>
      <w:r w:rsidRPr="008927FB">
        <w:rPr>
          <w:rFonts w:ascii="Times New Roman" w:eastAsiaTheme="minorHAnsi" w:hAnsi="Times New Roman" w:cs="Times New Roman"/>
          <w:sz w:val="22"/>
          <w:szCs w:val="22"/>
          <w:lang w:eastAsia="en-US"/>
        </w:rPr>
        <w:t>omezená váha d</w:t>
      </w:r>
      <w:r w:rsidRPr="008927FB">
        <w:rPr>
          <w:rFonts w:ascii="Times New Roman" w:eastAsia="TimesNewRoman" w:hAnsi="Times New Roman" w:cs="Times New Roman"/>
          <w:sz w:val="22"/>
          <w:szCs w:val="22"/>
          <w:lang w:eastAsia="en-US"/>
        </w:rPr>
        <w:t>ů</w:t>
      </w:r>
      <w:r w:rsidRPr="008927FB">
        <w:rPr>
          <w:rFonts w:ascii="Times New Roman" w:eastAsiaTheme="minorHAnsi" w:hAnsi="Times New Roman" w:cs="Times New Roman"/>
          <w:sz w:val="22"/>
          <w:szCs w:val="22"/>
          <w:lang w:eastAsia="en-US"/>
        </w:rPr>
        <w:t>kaz</w:t>
      </w:r>
      <w:r w:rsidRPr="008927FB">
        <w:rPr>
          <w:rFonts w:ascii="Times New Roman" w:eastAsia="TimesNewRoman" w:hAnsi="Times New Roman" w:cs="Times New Roman"/>
          <w:sz w:val="22"/>
          <w:szCs w:val="22"/>
          <w:lang w:eastAsia="en-US"/>
        </w:rPr>
        <w:t>ů</w:t>
      </w:r>
    </w:p>
    <w:p w14:paraId="76B62A77" w14:textId="77777777" w:rsidR="00391D60" w:rsidRPr="008927FB" w:rsidRDefault="00391D60" w:rsidP="00A44103">
      <w:pPr>
        <w:pStyle w:val="Default"/>
        <w:spacing w:before="120"/>
        <w:jc w:val="both"/>
        <w:rPr>
          <w:rFonts w:ascii="Times New Roman" w:hAnsi="Times New Roman" w:cs="Times New Roman"/>
        </w:rPr>
      </w:pPr>
      <w:r w:rsidRPr="008927FB">
        <w:rPr>
          <w:rFonts w:ascii="Times New Roman" w:hAnsi="Times New Roman" w:cs="Times New Roman"/>
        </w:rPr>
        <w:t xml:space="preserve">Studií sledujících vztah mezi hlukovou expozicí a vyvolanými reakcemi exponovaných lidí ve vztahu k pocitům obtěžování bylo již provedeno mnoho. Uskutečnila se též řada pokusů dospět meta-analýzou jejich výsledků k odvození kvantitativního vztahu mezi expozicí a účinkem: </w:t>
      </w:r>
    </w:p>
    <w:p w14:paraId="458813B0" w14:textId="77777777" w:rsidR="00391D60" w:rsidRPr="008927FB" w:rsidRDefault="00391D60" w:rsidP="00391D60">
      <w:pPr>
        <w:pStyle w:val="Default"/>
        <w:spacing w:line="280" w:lineRule="atLeast"/>
        <w:jc w:val="both"/>
        <w:rPr>
          <w:rFonts w:ascii="Times New Roman" w:hAnsi="Times New Roman" w:cs="Times New Roman"/>
        </w:rPr>
      </w:pPr>
      <w:r w:rsidRPr="008927FB">
        <w:rPr>
          <w:rFonts w:ascii="Times New Roman" w:hAnsi="Times New Roman" w:cs="Times New Roman"/>
        </w:rPr>
        <w:t>Miedema a Oudshoorn publikovali v roce 2001 model obtěžování hlukem, který vychází z analýzy výsledků většího počtu terénních studií, provedených v Evropě, Austrálii, Japonsku a Severní Americe, a odstraňuje některé nedostatky předchozích prací. Uvádí vztah mezi hlukovou expozicí v L</w:t>
      </w:r>
      <w:r w:rsidRPr="008927FB">
        <w:rPr>
          <w:rFonts w:ascii="Times New Roman" w:hAnsi="Times New Roman" w:cs="Times New Roman"/>
          <w:vertAlign w:val="subscript"/>
        </w:rPr>
        <w:t xml:space="preserve">dn </w:t>
      </w:r>
      <w:r w:rsidRPr="008927FB">
        <w:rPr>
          <w:rFonts w:ascii="Times New Roman" w:hAnsi="Times New Roman" w:cs="Times New Roman"/>
        </w:rPr>
        <w:t>(day-night level - ekvivalentní hladina akustického tlaku A za 24 hodin se zvýšením noční hladiny akustického tlaku o 10 dB) anebo L</w:t>
      </w:r>
      <w:r w:rsidRPr="008927FB">
        <w:rPr>
          <w:rFonts w:ascii="Times New Roman" w:hAnsi="Times New Roman" w:cs="Times New Roman"/>
          <w:vertAlign w:val="subscript"/>
        </w:rPr>
        <w:t>dvn</w:t>
      </w:r>
      <w:r w:rsidRPr="008927FB">
        <w:rPr>
          <w:rFonts w:ascii="Times New Roman" w:hAnsi="Times New Roman" w:cs="Times New Roman"/>
        </w:rPr>
        <w:t xml:space="preserve"> (day-evening-night level - ekvivalentní hladina akustického tlaku A za 24 hodin se zvýšením večerní hladiny akustického tlaku o 5 dB a noční hladiny o 10 dB) v rozmezí 45 – 75 dB a procentem obyvatel, u kterých lze očekávat pocity obtěžování (ve třech stupních škály intenzity obtěžování), a to zvlášť pro hluk z letecké, silniční a železniční dopravy. Hlavním účelem těchto vztahů je možnost predikce počtu obtěžovaných osob v závislosti na intenzitě hlukové expozice u běžné průměrně citlivé populace a v současné době jsou doporučeny pro hodnocení obtěžování obyvatel hlukem v zemích EU. </w:t>
      </w:r>
    </w:p>
    <w:p w14:paraId="1068158A" w14:textId="77777777" w:rsidR="00391D60" w:rsidRPr="008927FB" w:rsidRDefault="00391D60" w:rsidP="00391D60">
      <w:pPr>
        <w:pStyle w:val="Default"/>
        <w:spacing w:line="280" w:lineRule="atLeast"/>
        <w:jc w:val="both"/>
        <w:rPr>
          <w:rFonts w:ascii="Times New Roman" w:hAnsi="Times New Roman" w:cs="Times New Roman"/>
        </w:rPr>
      </w:pPr>
      <w:r w:rsidRPr="008927FB">
        <w:rPr>
          <w:rFonts w:ascii="Times New Roman" w:hAnsi="Times New Roman" w:cs="Times New Roman"/>
        </w:rPr>
        <w:lastRenderedPageBreak/>
        <w:t>Potvrzují známou zkušenost, že letecký hluk má výraznější obtěžující účinek nežli hluk ze silniční dopravy a hluk ze silniční dopravy má výraznější účinek nežli hluk z dopravy železniční.</w:t>
      </w:r>
    </w:p>
    <w:p w14:paraId="040F175E" w14:textId="77777777" w:rsidR="00391D60" w:rsidRPr="008927FB" w:rsidRDefault="00391D60" w:rsidP="00391D60">
      <w:pPr>
        <w:pStyle w:val="Default"/>
        <w:spacing w:before="120" w:after="120"/>
        <w:jc w:val="both"/>
        <w:rPr>
          <w:rFonts w:ascii="Times New Roman" w:hAnsi="Times New Roman" w:cs="Times New Roman"/>
        </w:rPr>
      </w:pPr>
      <w:r w:rsidRPr="008927FB">
        <w:rPr>
          <w:rFonts w:ascii="Times New Roman" w:hAnsi="Times New Roman" w:cs="Times New Roman"/>
        </w:rPr>
        <w:t>Vztahy pro obtěžování hlukem jsou odvozeny pro tři úrovně obtěžování vztažené k teoretické 100 stupňové škále intenzity obtěžování. Hlavním účelem těchto vztahů je možnost predikce počtu obtěžovaných osob v závislosti na intenzitě hlukové expozice u běžné průměrně citlivé populace a v současné době jsou doporučeny pro hodnocení obtěžování obyvatel hlukem v zemích EU.</w:t>
      </w:r>
    </w:p>
    <w:p w14:paraId="52002885" w14:textId="77777777" w:rsidR="00391D60" w:rsidRDefault="00391D60" w:rsidP="00391D60">
      <w:pPr>
        <w:pStyle w:val="Normlnprvn"/>
        <w:jc w:val="both"/>
      </w:pPr>
      <w:r>
        <w:t>Pocity obtěžování lze očekávat ve třech stupních:</w:t>
      </w:r>
    </w:p>
    <w:p w14:paraId="6B1F5912" w14:textId="77777777" w:rsidR="00391D60" w:rsidRPr="003E1E98" w:rsidRDefault="00391D60" w:rsidP="00E6597D">
      <w:pPr>
        <w:pStyle w:val="Normlnprvn"/>
        <w:spacing w:before="0"/>
        <w:jc w:val="both"/>
      </w:pPr>
      <w:r w:rsidRPr="003E1E98">
        <w:t xml:space="preserve">LA = (Little Annoyed), první stupeň obtěžování, který zahrnuje všechny osoby přinejmenším „mírně obtěžovaných“, tj. zahrnuje všechny obtěžované osoby ze všech tří stupňů </w:t>
      </w:r>
    </w:p>
    <w:p w14:paraId="2CA8F0D1" w14:textId="77777777" w:rsidR="00391D60" w:rsidRPr="003E1E98" w:rsidRDefault="00391D60" w:rsidP="00391D60">
      <w:pPr>
        <w:pStyle w:val="Normlnprvn"/>
        <w:spacing w:before="0"/>
        <w:jc w:val="both"/>
      </w:pPr>
      <w:r w:rsidRPr="003E1E98">
        <w:t xml:space="preserve">A = (Annoyed), druhý stupeň obtěžování, který zahrnuje osoby alespoň „středně obtěžované“, tj. zahrnuje všechny středně a vysoce obtěžované osoby </w:t>
      </w:r>
    </w:p>
    <w:p w14:paraId="682B3D57" w14:textId="77777777" w:rsidR="00391D60" w:rsidRDefault="00391D60" w:rsidP="00E6597D">
      <w:pPr>
        <w:jc w:val="both"/>
      </w:pPr>
      <w:r w:rsidRPr="003E1E98">
        <w:t>HA = (Highly Annoyed), třetí stupeň, který zahrnuje osoby s výraznými pocity obtěžování, tj. pouze osoby obtěžované vysoce</w:t>
      </w:r>
    </w:p>
    <w:p w14:paraId="068F48A5" w14:textId="77777777" w:rsidR="00391D60" w:rsidRDefault="00391D60" w:rsidP="00391D60">
      <w:pPr>
        <w:spacing w:before="120"/>
        <w:jc w:val="both"/>
      </w:pPr>
      <w:r w:rsidRPr="00FF7B13">
        <w:t>Stejně jako u vztahů pro obtěžování hlukem jsou pro</w:t>
      </w:r>
      <w:r w:rsidRPr="00267C18">
        <w:rPr>
          <w:b/>
        </w:rPr>
        <w:t xml:space="preserve"> rušení hlukem</w:t>
      </w:r>
      <w:r w:rsidRPr="002411FC">
        <w:rPr>
          <w:b/>
        </w:rPr>
        <w:t xml:space="preserve"> ve spánku</w:t>
      </w:r>
      <w:r w:rsidRPr="00FF7B13">
        <w:t xml:space="preserve"> odvozeny tři stupně rušivého účinku vztažené k teoretické 100 stupňové škále intenzity rušivého účinku</w:t>
      </w:r>
      <w:r>
        <w:t>:</w:t>
      </w:r>
    </w:p>
    <w:p w14:paraId="41E2A441" w14:textId="77777777" w:rsidR="00391D60" w:rsidRDefault="00391D60" w:rsidP="00E6597D">
      <w:pPr>
        <w:contextualSpacing/>
        <w:jc w:val="both"/>
      </w:pPr>
      <w:r w:rsidRPr="00FF7B13">
        <w:t xml:space="preserve">LSD (Lowly Sleep Disturbed) od 28. stupně škály (tedy přinejmenším „mírně rušení“), </w:t>
      </w:r>
    </w:p>
    <w:p w14:paraId="2EC438EE" w14:textId="77777777" w:rsidR="00391D60" w:rsidRDefault="00391D60" w:rsidP="00391D60">
      <w:pPr>
        <w:spacing w:before="60" w:after="60"/>
        <w:jc w:val="both"/>
      </w:pPr>
      <w:r w:rsidRPr="00FF7B13">
        <w:t xml:space="preserve">SD (Sleep Disturbed) pro rušení od 50. stupně škály intenzity a </w:t>
      </w:r>
    </w:p>
    <w:p w14:paraId="38C8DF86" w14:textId="77777777" w:rsidR="00391D60" w:rsidRPr="00FF7B13" w:rsidRDefault="00391D60" w:rsidP="00391D60">
      <w:pPr>
        <w:spacing w:before="60" w:after="60"/>
        <w:jc w:val="both"/>
      </w:pPr>
      <w:r w:rsidRPr="00FF7B13">
        <w:t>HSD (Highly Sleep Disturbed) pro vysoký stupeň rušení od 72. bodu stostupňové škály intenzity rušení.</w:t>
      </w:r>
    </w:p>
    <w:p w14:paraId="0D33E216" w14:textId="77777777" w:rsidR="00391D60" w:rsidRDefault="00391D60" w:rsidP="00391D60">
      <w:pPr>
        <w:jc w:val="both"/>
      </w:pPr>
      <w:r w:rsidRPr="00FF7B13">
        <w:t>Vztahy pro subjektivní rušení spánku jsou odvozené pro expozici vyjádřenou v</w:t>
      </w:r>
      <w:r>
        <w:t> </w:t>
      </w:r>
      <w:r w:rsidRPr="00FF7B13">
        <w:t>L</w:t>
      </w:r>
      <w:r>
        <w:rPr>
          <w:vertAlign w:val="subscript"/>
        </w:rPr>
        <w:t>nig</w:t>
      </w:r>
      <w:r w:rsidRPr="008A5FB1">
        <w:rPr>
          <w:vertAlign w:val="subscript"/>
        </w:rPr>
        <w:t>ht</w:t>
      </w:r>
      <w:r w:rsidRPr="008A5FB1">
        <w:t xml:space="preserve"> </w:t>
      </w:r>
      <w:r>
        <w:t>v </w:t>
      </w:r>
      <w:r w:rsidRPr="008A5FB1">
        <w:t>rozmezí 40 – 70 dB. (L</w:t>
      </w:r>
      <w:r w:rsidRPr="008A5FB1">
        <w:rPr>
          <w:vertAlign w:val="subscript"/>
        </w:rPr>
        <w:t>night</w:t>
      </w:r>
      <w:r w:rsidRPr="008A5FB1">
        <w:t xml:space="preserve"> - dlouhodobá ekvivalentní hladina akustického tlaku A v časovém úseku 8 hodin v noci na nejvíce exponované fasádě domu). Vycházejí ze statistického zpracování obsáhlé databáze výsledků z 12terénních studií z různých zemí a představují vztahy mezi noční hlukovou expozicí z letecké, automobilové a železniční dopravy a procentem osob udávajících při dotazníkovém šetření zhoršenou kvalitu spánku pro tři úrovně intenzity rušení spánku. Vyjadřují závislost udávaného rušení spánku na hlukové expozici bez vlivu jiných faktorů. </w:t>
      </w:r>
    </w:p>
    <w:p w14:paraId="1F9DE229" w14:textId="77777777" w:rsidR="00391D60" w:rsidRDefault="00391D60" w:rsidP="00391D60">
      <w:pPr>
        <w:jc w:val="both"/>
        <w:rPr>
          <w:b/>
        </w:rPr>
      </w:pPr>
    </w:p>
    <w:p w14:paraId="2E859ADB" w14:textId="77777777" w:rsidR="008B0E4C" w:rsidRPr="00914C9A" w:rsidRDefault="008B0E4C" w:rsidP="008B0E4C">
      <w:pPr>
        <w:pStyle w:val="Default"/>
        <w:jc w:val="both"/>
        <w:rPr>
          <w:rFonts w:ascii="Times New Roman" w:eastAsia="TimesNewRoman" w:hAnsi="Times New Roman" w:cs="Times New Roman"/>
        </w:rPr>
      </w:pPr>
      <w:r w:rsidRPr="00914C9A">
        <w:rPr>
          <w:rFonts w:ascii="Times New Roman" w:eastAsia="TimesNewRoman" w:hAnsi="Times New Roman" w:cs="Times New Roman"/>
        </w:rPr>
        <w:t xml:space="preserve">Pro kvantitativní hodnocení rizika </w:t>
      </w:r>
      <w:r w:rsidRPr="00914C9A">
        <w:rPr>
          <w:rFonts w:ascii="Times New Roman" w:eastAsia="TimesNewRoman" w:hAnsi="Times New Roman" w:cs="Times New Roman"/>
          <w:b/>
        </w:rPr>
        <w:t>hluku z průmyslových stacionárních zdrojů</w:t>
      </w:r>
      <w:r w:rsidRPr="00914C9A">
        <w:rPr>
          <w:rFonts w:ascii="Times New Roman" w:eastAsia="TimesNewRoman" w:hAnsi="Times New Roman" w:cs="Times New Roman"/>
        </w:rPr>
        <w:t xml:space="preserve"> nejsou v současné době k dispozici spolehlivé vztahy expozice a účinku. K orientačnímu vyhodnocení procenta obtěžovaných obyvatel je pouze možné využít vztahů publikovaných v roce 2004 na základě několika studii obtěžování obyvatel v okolí průmyslových provozů v Holandsku [Miedema, HME, Vos H: Noise annoyance from stationary sources]. Vycházejí z 24hodinové hlukové expozice vyjádřené v L</w:t>
      </w:r>
      <w:r w:rsidRPr="00914C9A">
        <w:rPr>
          <w:rFonts w:ascii="Times New Roman" w:eastAsia="TimesNewRoman" w:hAnsi="Times New Roman" w:cs="Times New Roman"/>
          <w:vertAlign w:val="subscript"/>
        </w:rPr>
        <w:t>dvn</w:t>
      </w:r>
      <w:r w:rsidRPr="00914C9A">
        <w:rPr>
          <w:rFonts w:ascii="Times New Roman" w:eastAsia="TimesNewRoman" w:hAnsi="Times New Roman" w:cs="Times New Roman"/>
        </w:rPr>
        <w:t xml:space="preserve"> a jsou odvozeny pro rozmezí hlukové expozice 35 – 65 dB.</w:t>
      </w:r>
    </w:p>
    <w:p w14:paraId="01B5979A" w14:textId="77777777" w:rsidR="008B0E4C" w:rsidRDefault="008B0E4C" w:rsidP="00391D60">
      <w:pPr>
        <w:jc w:val="both"/>
        <w:rPr>
          <w:b/>
        </w:rPr>
      </w:pPr>
    </w:p>
    <w:p w14:paraId="06F9F6B8" w14:textId="7F6A91A6" w:rsidR="00391D60" w:rsidRDefault="00391D60" w:rsidP="00391D60">
      <w:pPr>
        <w:jc w:val="both"/>
      </w:pPr>
      <w:r w:rsidRPr="00EB7B7F">
        <w:rPr>
          <w:b/>
        </w:rPr>
        <w:t>Hygienické limity</w:t>
      </w:r>
      <w:r w:rsidR="00E6597D">
        <w:t xml:space="preserve"> hodnot hluku v</w:t>
      </w:r>
      <w:r w:rsidRPr="00486A81">
        <w:t xml:space="preserve"> chráněném venkovním prostoru jsou určeny nařízením vlády č. </w:t>
      </w:r>
      <w:r>
        <w:t>272</w:t>
      </w:r>
      <w:r w:rsidRPr="00486A81">
        <w:t>/20</w:t>
      </w:r>
      <w:r>
        <w:t>11</w:t>
      </w:r>
      <w:r w:rsidRPr="00486A81">
        <w:t xml:space="preserve"> Sb.,</w:t>
      </w:r>
      <w:r w:rsidRPr="00486A81">
        <w:rPr>
          <w:b/>
        </w:rPr>
        <w:t xml:space="preserve"> </w:t>
      </w:r>
      <w:r w:rsidRPr="00486A81">
        <w:t>o ochraně zdraví před nepříznivými účinky hluku a vibrací, § 11.</w:t>
      </w:r>
    </w:p>
    <w:p w14:paraId="43C0C22D" w14:textId="77777777" w:rsidR="00277332" w:rsidRDefault="00277332" w:rsidP="00391D60">
      <w:pPr>
        <w:jc w:val="both"/>
      </w:pPr>
    </w:p>
    <w:p w14:paraId="03D8FA20" w14:textId="47585247" w:rsidR="00391D60" w:rsidRPr="00FB2DD2" w:rsidRDefault="00391D60" w:rsidP="00FB2DD2">
      <w:pPr>
        <w:pStyle w:val="Odstavecseseznamem"/>
        <w:numPr>
          <w:ilvl w:val="1"/>
          <w:numId w:val="25"/>
        </w:numPr>
        <w:ind w:left="567" w:hanging="567"/>
        <w:rPr>
          <w:b/>
          <w:sz w:val="26"/>
          <w:szCs w:val="26"/>
        </w:rPr>
      </w:pPr>
      <w:r w:rsidRPr="00FB2DD2">
        <w:rPr>
          <w:b/>
          <w:sz w:val="26"/>
          <w:szCs w:val="26"/>
        </w:rPr>
        <w:t xml:space="preserve">Hodnocení expozice </w:t>
      </w:r>
    </w:p>
    <w:p w14:paraId="36005B38" w14:textId="77777777" w:rsidR="00391D60" w:rsidRPr="00262B5D" w:rsidRDefault="00391D60" w:rsidP="00391D60">
      <w:pPr>
        <w:pStyle w:val="Default"/>
        <w:spacing w:before="120"/>
        <w:jc w:val="both"/>
        <w:rPr>
          <w:rFonts w:ascii="Times New Roman" w:hAnsi="Times New Roman" w:cs="Times New Roman"/>
          <w:bCs/>
        </w:rPr>
      </w:pPr>
      <w:r w:rsidRPr="00262B5D">
        <w:rPr>
          <w:rFonts w:ascii="Times New Roman" w:hAnsi="Times New Roman" w:cs="Times New Roman"/>
          <w:bCs/>
        </w:rPr>
        <w:t>Hodnocení zdravotních rizik</w:t>
      </w:r>
      <w:r w:rsidRPr="00262B5D">
        <w:rPr>
          <w:rFonts w:ascii="Times New Roman" w:hAnsi="Times New Roman" w:cs="Times New Roman"/>
          <w:b/>
          <w:bCs/>
        </w:rPr>
        <w:t xml:space="preserve"> </w:t>
      </w:r>
      <w:r w:rsidRPr="00262B5D">
        <w:rPr>
          <w:rFonts w:ascii="Times New Roman" w:hAnsi="Times New Roman" w:cs="Times New Roman"/>
          <w:bCs/>
        </w:rPr>
        <w:t>posuzuje nejenom změny expozice hluku, ale především počty exponovaných obyvatel, resp. zdravotní dopady na obyvatele žijící v posuzovaném území. Pro tato posouzení jsou používány jiné hlukové ukazatele, než jsou ukazatele pro porovnání s hygienickými limity.</w:t>
      </w:r>
    </w:p>
    <w:p w14:paraId="46B832A8" w14:textId="77777777" w:rsidR="00391D60" w:rsidRDefault="00391D60" w:rsidP="00391D60">
      <w:pPr>
        <w:autoSpaceDE w:val="0"/>
        <w:autoSpaceDN w:val="0"/>
        <w:adjustRightInd w:val="0"/>
        <w:spacing w:before="120"/>
        <w:jc w:val="both"/>
      </w:pPr>
      <w:r w:rsidRPr="00262B5D">
        <w:lastRenderedPageBreak/>
        <w:t xml:space="preserve">Nezbytným výchozím podkladem pro hodnocení expozice hluku a následně ke kvantitativnímu a kvalitativnímu odhadu míry zdravotního rizika je znalost hlukové zátěže v posuzované lokalitě. </w:t>
      </w:r>
    </w:p>
    <w:p w14:paraId="61B4D95B" w14:textId="1A392DA1" w:rsidR="00391D60" w:rsidRDefault="008B0E4C" w:rsidP="00391D60">
      <w:pPr>
        <w:autoSpaceDE w:val="0"/>
        <w:autoSpaceDN w:val="0"/>
        <w:adjustRightInd w:val="0"/>
        <w:jc w:val="both"/>
        <w:rPr>
          <w:rFonts w:eastAsia="TimesNewRoman"/>
        </w:rPr>
      </w:pPr>
      <w:r>
        <w:rPr>
          <w:rFonts w:eastAsia="TimesNewRoman"/>
        </w:rPr>
        <w:t xml:space="preserve">V předloženém protokolu </w:t>
      </w:r>
      <w:r w:rsidR="00391D60">
        <w:rPr>
          <w:rFonts w:eastAsia="TimesNewRoman"/>
        </w:rPr>
        <w:t>byl</w:t>
      </w:r>
      <w:r>
        <w:rPr>
          <w:rFonts w:eastAsia="TimesNewRoman"/>
        </w:rPr>
        <w:t xml:space="preserve"> změřen a </w:t>
      </w:r>
      <w:r w:rsidR="00391D60" w:rsidRPr="00391D60">
        <w:rPr>
          <w:rFonts w:eastAsia="TimesNewRoman"/>
        </w:rPr>
        <w:t>zhodnocen</w:t>
      </w:r>
      <w:r>
        <w:rPr>
          <w:rFonts w:eastAsia="TimesNewRoman"/>
        </w:rPr>
        <w:t xml:space="preserve"> vliv</w:t>
      </w:r>
      <w:r w:rsidR="00391D60" w:rsidRPr="00391D60">
        <w:rPr>
          <w:rFonts w:eastAsia="TimesNewRoman"/>
        </w:rPr>
        <w:t xml:space="preserve"> výrobního závodu na hlukovou situaci v jeho okolí,</w:t>
      </w:r>
      <w:r w:rsidR="00391D60">
        <w:rPr>
          <w:rFonts w:eastAsia="TimesNewRoman"/>
        </w:rPr>
        <w:t xml:space="preserve"> </w:t>
      </w:r>
      <w:r w:rsidR="00391D60" w:rsidRPr="00391D60">
        <w:rPr>
          <w:rFonts w:eastAsia="TimesNewRoman"/>
        </w:rPr>
        <w:t>zejména ve vztahu k nejbližší obytné (hlukově chráněné) zástavbě</w:t>
      </w:r>
      <w:r>
        <w:rPr>
          <w:rFonts w:eastAsia="TimesNewRoman"/>
        </w:rPr>
        <w:t>.</w:t>
      </w:r>
      <w:r w:rsidR="00391D60" w:rsidRPr="00391D60">
        <w:rPr>
          <w:rFonts w:eastAsia="TimesNewRoman"/>
        </w:rPr>
        <w:t xml:space="preserve"> </w:t>
      </w:r>
    </w:p>
    <w:p w14:paraId="09D1BEE3" w14:textId="242F12E2" w:rsidR="00391D60" w:rsidRPr="00B913A9" w:rsidRDefault="00391D60" w:rsidP="004A2981">
      <w:pPr>
        <w:autoSpaceDE w:val="0"/>
        <w:autoSpaceDN w:val="0"/>
        <w:adjustRightInd w:val="0"/>
        <w:spacing w:before="120"/>
        <w:jc w:val="both"/>
        <w:rPr>
          <w:rFonts w:eastAsiaTheme="minorHAnsi"/>
          <w:color w:val="000000"/>
          <w:lang w:eastAsia="en-US"/>
        </w:rPr>
      </w:pPr>
      <w:r w:rsidRPr="00262B5D">
        <w:t>Akustická situace je vyhodnocena k chráněnému venkovnímu prostoru staveb. Pro hodnocení akustické zátěže z</w:t>
      </w:r>
      <w:r w:rsidR="00C15893">
        <w:t> průmyslových stacionárních zdrojů</w:t>
      </w:r>
      <w:r w:rsidRPr="00262B5D">
        <w:t xml:space="preserve"> </w:t>
      </w:r>
      <w:r w:rsidR="004A2981">
        <w:t>byl z</w:t>
      </w:r>
      <w:r w:rsidR="004A2981">
        <w:rPr>
          <w:rFonts w:eastAsiaTheme="minorHAnsi"/>
          <w:color w:val="000000"/>
          <w:lang w:eastAsia="en-US"/>
        </w:rPr>
        <w:t xml:space="preserve"> vypočtených </w:t>
      </w:r>
      <w:r w:rsidRPr="00B913A9">
        <w:rPr>
          <w:rFonts w:eastAsiaTheme="minorHAnsi"/>
          <w:color w:val="000000"/>
          <w:lang w:eastAsia="en-US"/>
        </w:rPr>
        <w:t xml:space="preserve">hodnot hlukového deskriptoru </w:t>
      </w:r>
      <w:r w:rsidRPr="00B913A9">
        <w:rPr>
          <w:rFonts w:eastAsiaTheme="minorHAnsi"/>
          <w:b/>
          <w:bCs/>
          <w:iCs/>
          <w:color w:val="000000"/>
          <w:lang w:eastAsia="en-US"/>
        </w:rPr>
        <w:t>L</w:t>
      </w:r>
      <w:r w:rsidRPr="00B913A9">
        <w:rPr>
          <w:rFonts w:eastAsiaTheme="minorHAnsi"/>
          <w:b/>
          <w:bCs/>
          <w:color w:val="000000"/>
          <w:vertAlign w:val="subscript"/>
          <w:lang w:eastAsia="en-US"/>
        </w:rPr>
        <w:t>dn</w:t>
      </w:r>
      <w:r w:rsidRPr="00B913A9">
        <w:rPr>
          <w:rFonts w:eastAsiaTheme="minorHAnsi"/>
          <w:b/>
          <w:bCs/>
          <w:color w:val="000000"/>
          <w:lang w:eastAsia="en-US"/>
        </w:rPr>
        <w:t xml:space="preserve"> </w:t>
      </w:r>
      <w:r>
        <w:rPr>
          <w:rFonts w:eastAsiaTheme="minorHAnsi"/>
          <w:b/>
          <w:bCs/>
          <w:color w:val="000000"/>
          <w:lang w:eastAsia="en-US"/>
        </w:rPr>
        <w:t>resp. L</w:t>
      </w:r>
      <w:r>
        <w:rPr>
          <w:rFonts w:eastAsiaTheme="minorHAnsi"/>
          <w:b/>
          <w:bCs/>
          <w:color w:val="000000"/>
          <w:vertAlign w:val="subscript"/>
          <w:lang w:eastAsia="en-US"/>
        </w:rPr>
        <w:t>dvn</w:t>
      </w:r>
      <w:r>
        <w:rPr>
          <w:rFonts w:eastAsiaTheme="minorHAnsi"/>
          <w:b/>
          <w:bCs/>
          <w:color w:val="000000"/>
          <w:lang w:eastAsia="en-US"/>
        </w:rPr>
        <w:t xml:space="preserve"> </w:t>
      </w:r>
      <w:r w:rsidRPr="00B913A9">
        <w:rPr>
          <w:rFonts w:eastAsiaTheme="minorHAnsi"/>
          <w:color w:val="000000"/>
          <w:lang w:eastAsia="en-US"/>
        </w:rPr>
        <w:t xml:space="preserve">následně proveden výpočet (odhad) procenta, resp. počtu pravděpodobně obtěžovaných obyvatel, z hodnot hlukového deskriptoru </w:t>
      </w:r>
      <w:r w:rsidRPr="00B913A9">
        <w:rPr>
          <w:rFonts w:eastAsiaTheme="minorHAnsi"/>
          <w:b/>
          <w:bCs/>
          <w:iCs/>
          <w:color w:val="000000"/>
          <w:lang w:eastAsia="en-US"/>
        </w:rPr>
        <w:t>L</w:t>
      </w:r>
      <w:r w:rsidRPr="00B913A9">
        <w:rPr>
          <w:rFonts w:eastAsiaTheme="minorHAnsi"/>
          <w:b/>
          <w:bCs/>
          <w:color w:val="000000"/>
          <w:vertAlign w:val="subscript"/>
          <w:lang w:eastAsia="en-US"/>
        </w:rPr>
        <w:t>n</w:t>
      </w:r>
      <w:r w:rsidRPr="00B913A9">
        <w:rPr>
          <w:rFonts w:eastAsiaTheme="minorHAnsi"/>
          <w:b/>
          <w:bCs/>
          <w:color w:val="000000"/>
          <w:lang w:eastAsia="en-US"/>
        </w:rPr>
        <w:t xml:space="preserve"> </w:t>
      </w:r>
      <w:r w:rsidRPr="00B913A9">
        <w:rPr>
          <w:rFonts w:eastAsiaTheme="minorHAnsi"/>
          <w:color w:val="000000"/>
          <w:lang w:eastAsia="en-US"/>
        </w:rPr>
        <w:t xml:space="preserve">byl následně proveden výpočet (odhad) procenta, resp. pravděpodobného počtu obyvatel s rušeným spánkem dle doporučené metodiky WHO. </w:t>
      </w:r>
    </w:p>
    <w:p w14:paraId="4244439B" w14:textId="77777777" w:rsidR="00391D60" w:rsidRDefault="00391D60" w:rsidP="00391D60">
      <w:pPr>
        <w:pStyle w:val="Odstavec1"/>
        <w:spacing w:before="0" w:line="240" w:lineRule="auto"/>
        <w:ind w:left="0"/>
        <w:rPr>
          <w:rFonts w:cs="Arial"/>
          <w:sz w:val="22"/>
          <w:szCs w:val="22"/>
        </w:rPr>
      </w:pPr>
    </w:p>
    <w:p w14:paraId="73A577C5" w14:textId="206D32D4" w:rsidR="00B51D77" w:rsidRPr="00E70C8E" w:rsidRDefault="00B51D77" w:rsidP="00E70C8E">
      <w:pPr>
        <w:autoSpaceDE w:val="0"/>
        <w:autoSpaceDN w:val="0"/>
        <w:adjustRightInd w:val="0"/>
        <w:jc w:val="both"/>
        <w:rPr>
          <w:rFonts w:ascii="TimesNewRoman,Bold" w:hAnsi="TimesNewRoman,Bold" w:cs="TimesNewRoman,Bold"/>
          <w:b/>
          <w:bCs/>
        </w:rPr>
      </w:pPr>
      <w:r>
        <w:rPr>
          <w:rFonts w:ascii="TimesNewRoman,Bold" w:hAnsi="TimesNewRoman,Bold" w:cs="TimesNewRoman,Bold"/>
          <w:b/>
          <w:bCs/>
        </w:rPr>
        <w:t xml:space="preserve">V rámci </w:t>
      </w:r>
      <w:r w:rsidR="004A2981">
        <w:rPr>
          <w:rFonts w:ascii="TimesNewRoman,Bold" w:hAnsi="TimesNewRoman,Bold" w:cs="TimesNewRoman,Bold"/>
          <w:b/>
          <w:bCs/>
        </w:rPr>
        <w:t xml:space="preserve">předloženého protokolu </w:t>
      </w:r>
      <w:r>
        <w:rPr>
          <w:rFonts w:ascii="TimesNewRoman,Bold" w:hAnsi="TimesNewRoman,Bold" w:cs="TimesNewRoman,Bold"/>
          <w:b/>
          <w:bCs/>
        </w:rPr>
        <w:t>byl</w:t>
      </w:r>
      <w:r w:rsidR="00E70C8E">
        <w:rPr>
          <w:rFonts w:ascii="TimesNewRoman,Bold" w:hAnsi="TimesNewRoman,Bold" w:cs="TimesNewRoman,Bold"/>
          <w:b/>
          <w:bCs/>
        </w:rPr>
        <w:t xml:space="preserve">a </w:t>
      </w:r>
      <w:r>
        <w:rPr>
          <w:rFonts w:ascii="TimesNewRoman,Bold" w:hAnsi="TimesNewRoman,Bold" w:cs="TimesNewRoman,Bold"/>
          <w:b/>
          <w:bCs/>
        </w:rPr>
        <w:t>vyhodnocen</w:t>
      </w:r>
      <w:r w:rsidR="00E70C8E">
        <w:rPr>
          <w:rFonts w:ascii="TimesNewRoman,Bold" w:hAnsi="TimesNewRoman,Bold" w:cs="TimesNewRoman,Bold"/>
          <w:b/>
          <w:bCs/>
        </w:rPr>
        <w:t>a</w:t>
      </w:r>
      <w:r>
        <w:rPr>
          <w:rFonts w:ascii="TimesNewRoman,Bold" w:hAnsi="TimesNewRoman,Bold" w:cs="TimesNewRoman,Bold"/>
          <w:b/>
          <w:bCs/>
        </w:rPr>
        <w:t xml:space="preserve"> </w:t>
      </w:r>
      <w:r w:rsidR="00E70C8E" w:rsidRPr="00E70C8E">
        <w:rPr>
          <w:rFonts w:ascii="TimesNewRoman,Bold" w:hAnsi="TimesNewRoman,Bold" w:cs="TimesNewRoman,Bold"/>
          <w:b/>
          <w:bCs/>
        </w:rPr>
        <w:t>s</w:t>
      </w:r>
      <w:r w:rsidRPr="00E70C8E">
        <w:rPr>
          <w:rFonts w:eastAsia="TimesNewRoman"/>
          <w:b/>
        </w:rPr>
        <w:t>távající hluková situace v</w:t>
      </w:r>
      <w:r w:rsidR="004A2981" w:rsidRPr="00E70C8E">
        <w:rPr>
          <w:rFonts w:eastAsia="TimesNewRoman"/>
          <w:b/>
        </w:rPr>
        <w:t xml:space="preserve"> chráněném venkovním prostoru </w:t>
      </w:r>
      <w:r w:rsidRPr="00E70C8E">
        <w:rPr>
          <w:rFonts w:eastAsia="TimesNewRoman"/>
          <w:b/>
        </w:rPr>
        <w:t>(</w:t>
      </w:r>
      <w:r w:rsidR="00E70C8E">
        <w:rPr>
          <w:rFonts w:eastAsia="TimesNewRoman"/>
          <w:b/>
        </w:rPr>
        <w:t xml:space="preserve">celkový </w:t>
      </w:r>
      <w:r w:rsidRPr="00E70C8E">
        <w:rPr>
          <w:rFonts w:eastAsia="TimesNewRoman"/>
          <w:b/>
        </w:rPr>
        <w:t>provoz průmyslové</w:t>
      </w:r>
      <w:r w:rsidR="004A2981" w:rsidRPr="00E70C8E">
        <w:rPr>
          <w:rFonts w:eastAsia="TimesNewRoman"/>
          <w:b/>
        </w:rPr>
        <w:t>ho závodu</w:t>
      </w:r>
      <w:r w:rsidRPr="00E70C8E">
        <w:rPr>
          <w:rFonts w:eastAsia="TimesNewRoman"/>
          <w:b/>
        </w:rPr>
        <w:t>).</w:t>
      </w:r>
    </w:p>
    <w:p w14:paraId="565D7C99" w14:textId="77777777" w:rsidR="00E70C8E" w:rsidRDefault="00E70C8E" w:rsidP="00C0017E">
      <w:pPr>
        <w:autoSpaceDE w:val="0"/>
        <w:autoSpaceDN w:val="0"/>
        <w:adjustRightInd w:val="0"/>
        <w:rPr>
          <w:b/>
          <w:bCs/>
        </w:rPr>
      </w:pPr>
    </w:p>
    <w:p w14:paraId="18FA59C2" w14:textId="7B5FF58D" w:rsidR="00C0017E" w:rsidRPr="00C0017E" w:rsidRDefault="00C0017E" w:rsidP="00C0017E">
      <w:pPr>
        <w:autoSpaceDE w:val="0"/>
        <w:autoSpaceDN w:val="0"/>
        <w:adjustRightInd w:val="0"/>
        <w:rPr>
          <w:b/>
          <w:bCs/>
        </w:rPr>
      </w:pPr>
      <w:r>
        <w:rPr>
          <w:b/>
          <w:bCs/>
        </w:rPr>
        <w:t>Z</w:t>
      </w:r>
      <w:r w:rsidRPr="00C0017E">
        <w:rPr>
          <w:b/>
          <w:bCs/>
        </w:rPr>
        <w:t>droj</w:t>
      </w:r>
      <w:r w:rsidRPr="00C0017E">
        <w:rPr>
          <w:b/>
        </w:rPr>
        <w:t>e</w:t>
      </w:r>
      <w:r w:rsidRPr="00C0017E">
        <w:t xml:space="preserve"> </w:t>
      </w:r>
      <w:r w:rsidRPr="00C0017E">
        <w:rPr>
          <w:b/>
          <w:bCs/>
        </w:rPr>
        <w:t>hluku:</w:t>
      </w:r>
    </w:p>
    <w:p w14:paraId="3E57961E" w14:textId="58A8D900" w:rsidR="00E70C8E" w:rsidRDefault="00E70C8E" w:rsidP="00E70C8E">
      <w:pPr>
        <w:spacing w:before="120" w:after="120"/>
      </w:pPr>
      <w:r>
        <w:t>Denní doba – v provozu vše včetně dopravy (</w:t>
      </w:r>
      <w:r w:rsidR="00A84E41">
        <w:t xml:space="preserve">hygienické </w:t>
      </w:r>
      <w:r>
        <w:t xml:space="preserve">limity </w:t>
      </w:r>
      <w:r w:rsidR="00A84E41">
        <w:t xml:space="preserve">pro denní dobu jsou </w:t>
      </w:r>
      <w:r>
        <w:t>splněny)</w:t>
      </w:r>
    </w:p>
    <w:p w14:paraId="0928AC6C" w14:textId="1D8CF951" w:rsidR="00E70C8E" w:rsidRDefault="00E70C8E" w:rsidP="00E70C8E">
      <w:pPr>
        <w:spacing w:after="120"/>
      </w:pPr>
      <w:r>
        <w:t>Noční doba – v provozu výroba ČA1, ČA2 (pece i linky), balení, filtry MOLDOW, Cultilene, surovinové hospodářství (omezeně), ČA3 (přepracování), linka LSP – mimo provoz logistika tj. návoz surovin a odvoz výrobků a briketárna</w:t>
      </w:r>
    </w:p>
    <w:p w14:paraId="4C39A57A" w14:textId="77777777" w:rsidR="00E70C8E" w:rsidRDefault="00E70C8E" w:rsidP="00E70C8E">
      <w:pPr>
        <w:spacing w:after="160" w:line="259" w:lineRule="auto"/>
      </w:pPr>
      <w:r>
        <w:t>Po vyřešení nadlimitního hluku bude navazovat EIA na novou linku ČA3, kde budou zrušeny zdroje hluku – briketárna a současná ČA3 (přepracování).</w:t>
      </w:r>
    </w:p>
    <w:p w14:paraId="1656EB05" w14:textId="77777777" w:rsidR="00E70C8E" w:rsidRDefault="00E70C8E" w:rsidP="00E70C8E">
      <w:pPr>
        <w:spacing w:after="120"/>
      </w:pPr>
      <w:r>
        <w:t>Významnými zdroji hluku jsou:</w:t>
      </w:r>
    </w:p>
    <w:p w14:paraId="1F82D870" w14:textId="0C106A2D" w:rsidR="00E70C8E" w:rsidRDefault="00E70C8E" w:rsidP="00E70C8E">
      <w:pPr>
        <w:pStyle w:val="Odstavecseseznamem"/>
        <w:numPr>
          <w:ilvl w:val="0"/>
          <w:numId w:val="27"/>
        </w:numPr>
        <w:spacing w:after="120"/>
      </w:pPr>
      <w:r>
        <w:t xml:space="preserve">Pece a linky ČA1 a ČA2, střešní ventilátory ČA1 a ČA2, </w:t>
      </w:r>
      <w:r w:rsidR="000B23FE">
        <w:t>a filtrace</w:t>
      </w:r>
      <w:r>
        <w:t xml:space="preserve"> MOLDOW u ČA1</w:t>
      </w:r>
    </w:p>
    <w:p w14:paraId="29C77B1D" w14:textId="755FB9FC" w:rsidR="00B51D77" w:rsidRDefault="00A84E41" w:rsidP="00B51D77">
      <w:pPr>
        <w:autoSpaceDE w:val="0"/>
        <w:autoSpaceDN w:val="0"/>
        <w:adjustRightInd w:val="0"/>
        <w:rPr>
          <w:rFonts w:ascii="TimesNewRoman,Bold" w:hAnsi="TimesNewRoman,Bold" w:cs="TimesNewRoman,Bold"/>
          <w:b/>
          <w:bCs/>
        </w:rPr>
      </w:pPr>
      <w:r>
        <w:rPr>
          <w:rFonts w:ascii="TimesNewRoman,Bold" w:hAnsi="TimesNewRoman,Bold" w:cs="TimesNewRoman,Bold"/>
          <w:b/>
          <w:bCs/>
        </w:rPr>
        <w:t>Místa měření</w:t>
      </w:r>
      <w:r w:rsidR="007B5304">
        <w:rPr>
          <w:rFonts w:ascii="TimesNewRoman,Bold" w:hAnsi="TimesNewRoman,Bold" w:cs="TimesNewRoman,Bold"/>
          <w:b/>
          <w:bCs/>
        </w:rPr>
        <w:t>:</w:t>
      </w:r>
    </w:p>
    <w:p w14:paraId="77936BC7" w14:textId="62A68629" w:rsidR="00A84E41" w:rsidRPr="00D0344F" w:rsidRDefault="00A84E41" w:rsidP="00A84E41">
      <w:pPr>
        <w:autoSpaceDE w:val="0"/>
        <w:autoSpaceDN w:val="0"/>
        <w:adjustRightInd w:val="0"/>
        <w:spacing w:before="120"/>
        <w:jc w:val="both"/>
        <w:rPr>
          <w:rFonts w:eastAsia="TimesNewRoman"/>
          <w:b/>
        </w:rPr>
      </w:pPr>
      <w:r w:rsidRPr="007C0CBA">
        <w:rPr>
          <w:rFonts w:cs="Tahoma"/>
          <w:b/>
        </w:rPr>
        <w:t>Měřicí místo 1 (MM1)</w:t>
      </w:r>
      <w:r w:rsidRPr="00E47F01">
        <w:rPr>
          <w:rFonts w:cs="Tahoma"/>
        </w:rPr>
        <w:t xml:space="preserve"> </w:t>
      </w:r>
      <w:r w:rsidRPr="00F007EB">
        <w:rPr>
          <w:rFonts w:cs="Tahoma"/>
        </w:rPr>
        <w:t xml:space="preserve">– </w:t>
      </w:r>
      <w:r>
        <w:rPr>
          <w:rFonts w:cs="Tahoma"/>
        </w:rPr>
        <w:t>chráněný venkovní prostor</w:t>
      </w:r>
      <w:r w:rsidRPr="00E47F01">
        <w:rPr>
          <w:rFonts w:cs="Tahoma"/>
        </w:rPr>
        <w:t xml:space="preserve"> </w:t>
      </w:r>
      <w:r>
        <w:rPr>
          <w:rFonts w:cs="Tahoma"/>
        </w:rPr>
        <w:t>u rodinného domu</w:t>
      </w:r>
      <w:r w:rsidRPr="008A17E4">
        <w:t xml:space="preserve"> </w:t>
      </w:r>
      <w:r>
        <w:t>č.p. 168, Masarykova ulice, Častolovice</w:t>
      </w:r>
      <w:r>
        <w:rPr>
          <w:rFonts w:cs="Tahoma"/>
        </w:rPr>
        <w:t>.</w:t>
      </w:r>
    </w:p>
    <w:p w14:paraId="7DDD3B0B" w14:textId="111A12FE" w:rsidR="00D0344F" w:rsidRDefault="00A84E41" w:rsidP="00A84E41">
      <w:pPr>
        <w:autoSpaceDE w:val="0"/>
        <w:autoSpaceDN w:val="0"/>
        <w:adjustRightInd w:val="0"/>
        <w:spacing w:before="120" w:after="120"/>
        <w:jc w:val="both"/>
        <w:rPr>
          <w:rFonts w:eastAsia="TimesNewRoman"/>
          <w:b/>
        </w:rPr>
      </w:pPr>
      <w:r w:rsidRPr="007C0CBA">
        <w:rPr>
          <w:rFonts w:cs="Tahoma"/>
          <w:b/>
        </w:rPr>
        <w:t>Měřicí místo 2 (MM2)</w:t>
      </w:r>
      <w:r w:rsidRPr="00E47F01">
        <w:rPr>
          <w:rFonts w:cs="Tahoma"/>
        </w:rPr>
        <w:t xml:space="preserve"> </w:t>
      </w:r>
      <w:r w:rsidRPr="00F007EB">
        <w:rPr>
          <w:rFonts w:cs="Tahoma"/>
        </w:rPr>
        <w:t xml:space="preserve">– </w:t>
      </w:r>
      <w:r>
        <w:rPr>
          <w:rFonts w:cs="Tahoma"/>
        </w:rPr>
        <w:t>chráněný venkovní prostor</w:t>
      </w:r>
      <w:r w:rsidRPr="00E47F01">
        <w:rPr>
          <w:rFonts w:cs="Tahoma"/>
        </w:rPr>
        <w:t xml:space="preserve"> </w:t>
      </w:r>
      <w:r>
        <w:rPr>
          <w:rFonts w:cs="Tahoma"/>
        </w:rPr>
        <w:t>u rodinného domu</w:t>
      </w:r>
      <w:r w:rsidRPr="008A17E4">
        <w:t xml:space="preserve"> </w:t>
      </w:r>
      <w:r>
        <w:t>č.p. 379, Zahradní ulice, Častolovice</w:t>
      </w:r>
      <w:r>
        <w:rPr>
          <w:rFonts w:cs="Tahoma"/>
        </w:rPr>
        <w:t>.</w:t>
      </w:r>
    </w:p>
    <w:p w14:paraId="33D3073E" w14:textId="78DE6556" w:rsidR="00A84E41" w:rsidRDefault="00A84E41" w:rsidP="00A84E41">
      <w:pPr>
        <w:autoSpaceDE w:val="0"/>
        <w:autoSpaceDN w:val="0"/>
        <w:adjustRightInd w:val="0"/>
        <w:spacing w:before="120" w:after="120"/>
        <w:jc w:val="both"/>
        <w:rPr>
          <w:rFonts w:cs="Tahoma"/>
        </w:rPr>
      </w:pPr>
      <w:r w:rsidRPr="007C0CBA">
        <w:rPr>
          <w:rFonts w:cs="Tahoma"/>
          <w:b/>
        </w:rPr>
        <w:t>Měřicí místo 3 (MM3)</w:t>
      </w:r>
      <w:r w:rsidRPr="00E47F01">
        <w:rPr>
          <w:rFonts w:cs="Tahoma"/>
        </w:rPr>
        <w:t xml:space="preserve"> </w:t>
      </w:r>
      <w:r w:rsidRPr="00F007EB">
        <w:rPr>
          <w:rFonts w:cs="Tahoma"/>
        </w:rPr>
        <w:t xml:space="preserve">– </w:t>
      </w:r>
      <w:r>
        <w:rPr>
          <w:rFonts w:cs="Tahoma"/>
        </w:rPr>
        <w:t>chráněný venkovní prostor</w:t>
      </w:r>
      <w:r w:rsidRPr="00E47F01">
        <w:rPr>
          <w:rFonts w:cs="Tahoma"/>
        </w:rPr>
        <w:t xml:space="preserve"> </w:t>
      </w:r>
      <w:r>
        <w:rPr>
          <w:rFonts w:cs="Tahoma"/>
        </w:rPr>
        <w:t>staveb č.p. 206, Masarykova ulice, Častolovice.</w:t>
      </w:r>
    </w:p>
    <w:p w14:paraId="3B7EC6EA" w14:textId="10848651" w:rsidR="00A84E41" w:rsidRDefault="00A84E41" w:rsidP="00A84E41">
      <w:pPr>
        <w:autoSpaceDE w:val="0"/>
        <w:autoSpaceDN w:val="0"/>
        <w:adjustRightInd w:val="0"/>
        <w:spacing w:before="120" w:after="120"/>
        <w:jc w:val="both"/>
        <w:rPr>
          <w:rFonts w:eastAsia="TimesNewRoman"/>
          <w:b/>
        </w:rPr>
      </w:pPr>
      <w:r w:rsidRPr="002744C7">
        <w:rPr>
          <w:rFonts w:cs="Tahoma"/>
          <w:b/>
        </w:rPr>
        <w:t>Měřicí místo 4 (MM4)</w:t>
      </w:r>
      <w:r w:rsidRPr="00E47F01">
        <w:rPr>
          <w:rFonts w:cs="Tahoma"/>
        </w:rPr>
        <w:t xml:space="preserve"> </w:t>
      </w:r>
      <w:r w:rsidRPr="00F007EB">
        <w:rPr>
          <w:rFonts w:cs="Tahoma"/>
        </w:rPr>
        <w:t xml:space="preserve">– </w:t>
      </w:r>
      <w:r>
        <w:rPr>
          <w:rFonts w:cs="Tahoma"/>
        </w:rPr>
        <w:t>chráněný venkovní prostor</w:t>
      </w:r>
      <w:r w:rsidRPr="00E47F01">
        <w:rPr>
          <w:rFonts w:cs="Tahoma"/>
        </w:rPr>
        <w:t xml:space="preserve"> </w:t>
      </w:r>
      <w:r>
        <w:rPr>
          <w:rFonts w:cs="Tahoma"/>
        </w:rPr>
        <w:t>u rodinného domu</w:t>
      </w:r>
      <w:r w:rsidRPr="008A17E4">
        <w:t xml:space="preserve"> </w:t>
      </w:r>
      <w:r>
        <w:t>č.p. 140, Čestice</w:t>
      </w:r>
      <w:r>
        <w:rPr>
          <w:rFonts w:cs="Tahoma"/>
        </w:rPr>
        <w:t>.</w:t>
      </w:r>
      <w:r w:rsidR="003C2182">
        <w:rPr>
          <w:rFonts w:cs="Tahoma"/>
        </w:rPr>
        <w:t xml:space="preserve"> Měřicí mikrofon byl umístěn na JV rohu hranice pozemku.</w:t>
      </w:r>
    </w:p>
    <w:p w14:paraId="41C993A4" w14:textId="0DDF5074" w:rsidR="00A84E41" w:rsidRDefault="00A84E41" w:rsidP="003C2182">
      <w:pPr>
        <w:autoSpaceDE w:val="0"/>
        <w:autoSpaceDN w:val="0"/>
        <w:adjustRightInd w:val="0"/>
        <w:spacing w:before="120" w:after="120"/>
        <w:jc w:val="both"/>
        <w:rPr>
          <w:rFonts w:eastAsia="TimesNewRoman"/>
          <w:b/>
        </w:rPr>
      </w:pPr>
      <w:r w:rsidRPr="002744C7">
        <w:rPr>
          <w:rFonts w:cs="Tahoma"/>
          <w:b/>
        </w:rPr>
        <w:t>Měřicí místo 5 (MM5)</w:t>
      </w:r>
      <w:r w:rsidRPr="00E47F01">
        <w:rPr>
          <w:rFonts w:cs="Tahoma"/>
        </w:rPr>
        <w:t xml:space="preserve"> </w:t>
      </w:r>
      <w:r w:rsidRPr="00F007EB">
        <w:rPr>
          <w:rFonts w:cs="Tahoma"/>
        </w:rPr>
        <w:t xml:space="preserve">– </w:t>
      </w:r>
      <w:r>
        <w:rPr>
          <w:rFonts w:cs="Tahoma"/>
        </w:rPr>
        <w:t>chráněný venkovní prostor</w:t>
      </w:r>
      <w:r w:rsidRPr="00E47F01">
        <w:rPr>
          <w:rFonts w:cs="Tahoma"/>
        </w:rPr>
        <w:t xml:space="preserve"> </w:t>
      </w:r>
      <w:r>
        <w:rPr>
          <w:rFonts w:cs="Tahoma"/>
        </w:rPr>
        <w:t>u rodinného domu</w:t>
      </w:r>
      <w:r w:rsidRPr="008A17E4">
        <w:t xml:space="preserve"> </w:t>
      </w:r>
      <w:r>
        <w:t>č.p. 140, Čestice</w:t>
      </w:r>
      <w:r>
        <w:rPr>
          <w:rFonts w:cs="Tahoma"/>
        </w:rPr>
        <w:t>.</w:t>
      </w:r>
      <w:r w:rsidR="003C2182">
        <w:rPr>
          <w:rFonts w:cs="Tahoma"/>
        </w:rPr>
        <w:t xml:space="preserve"> Měřicí mikrofon byl umístěn uprostřed V hranice pozemku.</w:t>
      </w:r>
    </w:p>
    <w:p w14:paraId="28A4613B" w14:textId="046CFB71" w:rsidR="00B51D77" w:rsidRDefault="00B51D77" w:rsidP="00B51D77">
      <w:pPr>
        <w:autoSpaceDE w:val="0"/>
        <w:autoSpaceDN w:val="0"/>
        <w:adjustRightInd w:val="0"/>
        <w:spacing w:before="120" w:after="120"/>
        <w:rPr>
          <w:rFonts w:eastAsia="TimesNewRoman"/>
          <w:b/>
        </w:rPr>
      </w:pPr>
      <w:r w:rsidRPr="00B51D77">
        <w:rPr>
          <w:rFonts w:eastAsia="TimesNewRoman"/>
          <w:b/>
        </w:rPr>
        <w:t xml:space="preserve">Tabulka </w:t>
      </w:r>
      <w:r w:rsidR="004226A9">
        <w:rPr>
          <w:rFonts w:eastAsia="TimesNewRoman"/>
          <w:b/>
        </w:rPr>
        <w:t>1</w:t>
      </w:r>
      <w:r w:rsidRPr="00B51D77">
        <w:rPr>
          <w:rFonts w:eastAsia="TimesNewRoman"/>
          <w:b/>
        </w:rPr>
        <w:t xml:space="preserve">: </w:t>
      </w:r>
      <w:r w:rsidR="001F2D5C">
        <w:rPr>
          <w:rFonts w:eastAsia="TimesNewRoman"/>
          <w:b/>
        </w:rPr>
        <w:t>výsled</w:t>
      </w:r>
      <w:r w:rsidR="003C2182">
        <w:rPr>
          <w:rFonts w:eastAsia="TimesNewRoman"/>
          <w:b/>
        </w:rPr>
        <w:t xml:space="preserve">né ekvivalentní hladiny hluku </w:t>
      </w:r>
      <w:r w:rsidR="001F2D5C">
        <w:rPr>
          <w:rFonts w:eastAsia="TimesNewRoman"/>
          <w:b/>
        </w:rPr>
        <w:t xml:space="preserve">stávajícího stavu </w:t>
      </w:r>
    </w:p>
    <w:tbl>
      <w:tblPr>
        <w:tblStyle w:val="Mkatabulky"/>
        <w:tblW w:w="0" w:type="auto"/>
        <w:tblInd w:w="-5" w:type="dxa"/>
        <w:tblLook w:val="04A0" w:firstRow="1" w:lastRow="0" w:firstColumn="1" w:lastColumn="0" w:noHBand="0" w:noVBand="1"/>
      </w:tblPr>
      <w:tblGrid>
        <w:gridCol w:w="1583"/>
        <w:gridCol w:w="1428"/>
        <w:gridCol w:w="1383"/>
      </w:tblGrid>
      <w:tr w:rsidR="003C2182" w14:paraId="2A5BD87F" w14:textId="77777777" w:rsidTr="00265D41">
        <w:tc>
          <w:tcPr>
            <w:tcW w:w="0" w:type="auto"/>
            <w:vAlign w:val="center"/>
          </w:tcPr>
          <w:p w14:paraId="30968977" w14:textId="31C87AA8" w:rsidR="003C2182" w:rsidRDefault="003C2182" w:rsidP="003C2182">
            <w:pPr>
              <w:autoSpaceDE w:val="0"/>
              <w:autoSpaceDN w:val="0"/>
              <w:adjustRightInd w:val="0"/>
              <w:jc w:val="center"/>
              <w:rPr>
                <w:rFonts w:eastAsia="TimesNewRoman"/>
                <w:b/>
              </w:rPr>
            </w:pPr>
            <w:r>
              <w:rPr>
                <w:rFonts w:eastAsia="TimesNewRoman"/>
                <w:b/>
              </w:rPr>
              <w:t>Místo měření</w:t>
            </w:r>
          </w:p>
        </w:tc>
        <w:tc>
          <w:tcPr>
            <w:tcW w:w="0" w:type="auto"/>
            <w:vAlign w:val="center"/>
          </w:tcPr>
          <w:p w14:paraId="6AE7B896" w14:textId="77777777" w:rsidR="003C2182" w:rsidRDefault="003C2182" w:rsidP="003C2182">
            <w:pPr>
              <w:autoSpaceDE w:val="0"/>
              <w:autoSpaceDN w:val="0"/>
              <w:adjustRightInd w:val="0"/>
              <w:jc w:val="center"/>
              <w:rPr>
                <w:rFonts w:eastAsia="TimesNewRoman"/>
                <w:b/>
              </w:rPr>
            </w:pPr>
            <w:r>
              <w:rPr>
                <w:rFonts w:eastAsia="TimesNewRoman"/>
                <w:b/>
              </w:rPr>
              <w:t>Denní doba</w:t>
            </w:r>
          </w:p>
          <w:p w14:paraId="1A245E7E" w14:textId="59DDC335" w:rsidR="003C2182" w:rsidRPr="00B25123" w:rsidRDefault="003C2182" w:rsidP="003C2182">
            <w:pPr>
              <w:autoSpaceDE w:val="0"/>
              <w:autoSpaceDN w:val="0"/>
              <w:adjustRightInd w:val="0"/>
              <w:jc w:val="center"/>
              <w:rPr>
                <w:rFonts w:eastAsia="TimesNewRoman"/>
                <w:b/>
              </w:rPr>
            </w:pPr>
            <w:r>
              <w:rPr>
                <w:rFonts w:eastAsia="TimesNewRoman"/>
                <w:b/>
              </w:rPr>
              <w:t>L</w:t>
            </w:r>
            <w:r>
              <w:rPr>
                <w:rFonts w:eastAsia="TimesNewRoman"/>
                <w:b/>
                <w:vertAlign w:val="subscript"/>
              </w:rPr>
              <w:t>Aeq,16h</w:t>
            </w:r>
            <w:r w:rsidR="00B25123">
              <w:rPr>
                <w:rFonts w:eastAsia="TimesNewRoman"/>
                <w:b/>
              </w:rPr>
              <w:t xml:space="preserve"> /dB/</w:t>
            </w:r>
          </w:p>
        </w:tc>
        <w:tc>
          <w:tcPr>
            <w:tcW w:w="0" w:type="auto"/>
            <w:vAlign w:val="center"/>
          </w:tcPr>
          <w:p w14:paraId="595A99C7" w14:textId="77777777" w:rsidR="003C2182" w:rsidRDefault="003C2182" w:rsidP="003C2182">
            <w:pPr>
              <w:autoSpaceDE w:val="0"/>
              <w:autoSpaceDN w:val="0"/>
              <w:adjustRightInd w:val="0"/>
              <w:jc w:val="center"/>
              <w:rPr>
                <w:rFonts w:eastAsia="TimesNewRoman"/>
                <w:b/>
              </w:rPr>
            </w:pPr>
            <w:r>
              <w:rPr>
                <w:rFonts w:eastAsia="TimesNewRoman"/>
                <w:b/>
              </w:rPr>
              <w:t>Noční doba</w:t>
            </w:r>
          </w:p>
          <w:p w14:paraId="0049CD76" w14:textId="19295DFB" w:rsidR="003C2182" w:rsidRPr="00B25123" w:rsidRDefault="003C2182" w:rsidP="003C2182">
            <w:pPr>
              <w:autoSpaceDE w:val="0"/>
              <w:autoSpaceDN w:val="0"/>
              <w:adjustRightInd w:val="0"/>
              <w:jc w:val="center"/>
              <w:rPr>
                <w:rFonts w:eastAsia="TimesNewRoman"/>
                <w:b/>
              </w:rPr>
            </w:pPr>
            <w:r>
              <w:rPr>
                <w:rFonts w:eastAsia="TimesNewRoman"/>
                <w:b/>
              </w:rPr>
              <w:t>L</w:t>
            </w:r>
            <w:r>
              <w:rPr>
                <w:rFonts w:eastAsia="TimesNewRoman"/>
                <w:b/>
                <w:vertAlign w:val="subscript"/>
              </w:rPr>
              <w:t>Aeq,8h</w:t>
            </w:r>
            <w:r w:rsidR="00B25123">
              <w:rPr>
                <w:rFonts w:eastAsia="TimesNewRoman"/>
                <w:b/>
              </w:rPr>
              <w:t xml:space="preserve"> /dB/</w:t>
            </w:r>
          </w:p>
        </w:tc>
      </w:tr>
      <w:tr w:rsidR="003C2182" w14:paraId="3A823C87" w14:textId="77777777" w:rsidTr="00265D41">
        <w:tc>
          <w:tcPr>
            <w:tcW w:w="0" w:type="auto"/>
            <w:vAlign w:val="center"/>
          </w:tcPr>
          <w:p w14:paraId="208D558F" w14:textId="604D88B3" w:rsidR="003C2182" w:rsidRPr="006F45AC" w:rsidRDefault="003C2182" w:rsidP="003C2182">
            <w:pPr>
              <w:autoSpaceDE w:val="0"/>
              <w:autoSpaceDN w:val="0"/>
              <w:adjustRightInd w:val="0"/>
              <w:jc w:val="center"/>
              <w:rPr>
                <w:rFonts w:eastAsia="TimesNewRoman"/>
              </w:rPr>
            </w:pPr>
            <w:r w:rsidRPr="006F45AC">
              <w:rPr>
                <w:rFonts w:eastAsia="TimesNewRoman"/>
              </w:rPr>
              <w:t>MM1</w:t>
            </w:r>
          </w:p>
        </w:tc>
        <w:tc>
          <w:tcPr>
            <w:tcW w:w="0" w:type="auto"/>
            <w:vAlign w:val="center"/>
          </w:tcPr>
          <w:p w14:paraId="69181382" w14:textId="3B1CF918" w:rsidR="003C2182" w:rsidRPr="006F45AC" w:rsidRDefault="00AB7EBF" w:rsidP="003C2182">
            <w:pPr>
              <w:autoSpaceDE w:val="0"/>
              <w:autoSpaceDN w:val="0"/>
              <w:adjustRightInd w:val="0"/>
              <w:jc w:val="center"/>
              <w:rPr>
                <w:rFonts w:eastAsia="TimesNewRoman"/>
              </w:rPr>
            </w:pPr>
            <w:r>
              <w:rPr>
                <w:rFonts w:eastAsia="TimesNewRoman"/>
              </w:rPr>
              <w:t>&lt; 50</w:t>
            </w:r>
          </w:p>
        </w:tc>
        <w:tc>
          <w:tcPr>
            <w:tcW w:w="0" w:type="auto"/>
            <w:vAlign w:val="center"/>
          </w:tcPr>
          <w:p w14:paraId="5BB143C8" w14:textId="4B58EE79" w:rsidR="003C2182" w:rsidRPr="006F45AC" w:rsidRDefault="006F45AC" w:rsidP="003C2182">
            <w:pPr>
              <w:autoSpaceDE w:val="0"/>
              <w:autoSpaceDN w:val="0"/>
              <w:adjustRightInd w:val="0"/>
              <w:jc w:val="center"/>
              <w:rPr>
                <w:rFonts w:eastAsia="TimesNewRoman"/>
              </w:rPr>
            </w:pPr>
            <w:r w:rsidRPr="006F45AC">
              <w:rPr>
                <w:rFonts w:eastAsia="TimesNewRoman"/>
              </w:rPr>
              <w:t>31,8</w:t>
            </w:r>
          </w:p>
        </w:tc>
      </w:tr>
      <w:tr w:rsidR="003C2182" w14:paraId="2E3FF81C" w14:textId="77777777" w:rsidTr="00265D41">
        <w:tc>
          <w:tcPr>
            <w:tcW w:w="0" w:type="auto"/>
            <w:vAlign w:val="center"/>
          </w:tcPr>
          <w:p w14:paraId="3158DDF6" w14:textId="19821EC2" w:rsidR="003C2182" w:rsidRPr="006F45AC" w:rsidRDefault="003C2182" w:rsidP="003C2182">
            <w:pPr>
              <w:autoSpaceDE w:val="0"/>
              <w:autoSpaceDN w:val="0"/>
              <w:adjustRightInd w:val="0"/>
              <w:jc w:val="center"/>
              <w:rPr>
                <w:rFonts w:eastAsia="TimesNewRoman"/>
              </w:rPr>
            </w:pPr>
            <w:r w:rsidRPr="006F45AC">
              <w:rPr>
                <w:rFonts w:eastAsia="TimesNewRoman"/>
              </w:rPr>
              <w:t>MM2</w:t>
            </w:r>
          </w:p>
        </w:tc>
        <w:tc>
          <w:tcPr>
            <w:tcW w:w="0" w:type="auto"/>
            <w:vAlign w:val="center"/>
          </w:tcPr>
          <w:p w14:paraId="3947F4D1" w14:textId="586DC0C4" w:rsidR="003C2182" w:rsidRPr="006F45AC" w:rsidRDefault="00AB7EBF" w:rsidP="003C2182">
            <w:pPr>
              <w:autoSpaceDE w:val="0"/>
              <w:autoSpaceDN w:val="0"/>
              <w:adjustRightInd w:val="0"/>
              <w:jc w:val="center"/>
              <w:rPr>
                <w:rFonts w:eastAsia="TimesNewRoman"/>
              </w:rPr>
            </w:pPr>
            <w:r>
              <w:rPr>
                <w:rFonts w:eastAsia="TimesNewRoman"/>
              </w:rPr>
              <w:t>&lt; 50</w:t>
            </w:r>
          </w:p>
        </w:tc>
        <w:tc>
          <w:tcPr>
            <w:tcW w:w="0" w:type="auto"/>
            <w:vAlign w:val="center"/>
          </w:tcPr>
          <w:p w14:paraId="1887D696" w14:textId="2DC173BF" w:rsidR="003C2182" w:rsidRPr="006F45AC" w:rsidRDefault="006F45AC" w:rsidP="003C2182">
            <w:pPr>
              <w:autoSpaceDE w:val="0"/>
              <w:autoSpaceDN w:val="0"/>
              <w:adjustRightInd w:val="0"/>
              <w:jc w:val="center"/>
              <w:rPr>
                <w:rFonts w:eastAsia="TimesNewRoman"/>
              </w:rPr>
            </w:pPr>
            <w:r>
              <w:rPr>
                <w:rFonts w:eastAsia="TimesNewRoman"/>
              </w:rPr>
              <w:t>35,2</w:t>
            </w:r>
          </w:p>
        </w:tc>
      </w:tr>
      <w:tr w:rsidR="003C2182" w14:paraId="073D05F3" w14:textId="77777777" w:rsidTr="00265D41">
        <w:tc>
          <w:tcPr>
            <w:tcW w:w="0" w:type="auto"/>
            <w:vAlign w:val="center"/>
          </w:tcPr>
          <w:p w14:paraId="671E05D0" w14:textId="2FE2C940" w:rsidR="003C2182" w:rsidRPr="006F45AC" w:rsidRDefault="003C2182" w:rsidP="003C2182">
            <w:pPr>
              <w:autoSpaceDE w:val="0"/>
              <w:autoSpaceDN w:val="0"/>
              <w:adjustRightInd w:val="0"/>
              <w:jc w:val="center"/>
              <w:rPr>
                <w:rFonts w:eastAsia="TimesNewRoman"/>
              </w:rPr>
            </w:pPr>
            <w:r w:rsidRPr="006F45AC">
              <w:rPr>
                <w:rFonts w:eastAsia="TimesNewRoman"/>
              </w:rPr>
              <w:t>MM3</w:t>
            </w:r>
          </w:p>
        </w:tc>
        <w:tc>
          <w:tcPr>
            <w:tcW w:w="0" w:type="auto"/>
            <w:vAlign w:val="center"/>
          </w:tcPr>
          <w:p w14:paraId="05D1ECE2" w14:textId="75B52AE9" w:rsidR="003C2182" w:rsidRPr="006F45AC" w:rsidRDefault="00AB7EBF" w:rsidP="003C2182">
            <w:pPr>
              <w:autoSpaceDE w:val="0"/>
              <w:autoSpaceDN w:val="0"/>
              <w:adjustRightInd w:val="0"/>
              <w:jc w:val="center"/>
              <w:rPr>
                <w:rFonts w:eastAsia="TimesNewRoman"/>
              </w:rPr>
            </w:pPr>
            <w:r>
              <w:rPr>
                <w:rFonts w:eastAsia="TimesNewRoman"/>
              </w:rPr>
              <w:t>&lt; 50</w:t>
            </w:r>
          </w:p>
        </w:tc>
        <w:tc>
          <w:tcPr>
            <w:tcW w:w="0" w:type="auto"/>
            <w:vAlign w:val="center"/>
          </w:tcPr>
          <w:p w14:paraId="6179584A" w14:textId="0290B964" w:rsidR="003C2182" w:rsidRPr="006F45AC" w:rsidRDefault="006F45AC" w:rsidP="006F45AC">
            <w:pPr>
              <w:autoSpaceDE w:val="0"/>
              <w:autoSpaceDN w:val="0"/>
              <w:adjustRightInd w:val="0"/>
              <w:jc w:val="center"/>
              <w:rPr>
                <w:rFonts w:eastAsia="TimesNewRoman"/>
              </w:rPr>
            </w:pPr>
            <w:r>
              <w:rPr>
                <w:rFonts w:eastAsia="TimesNewRoman"/>
              </w:rPr>
              <w:t>44,6</w:t>
            </w:r>
          </w:p>
        </w:tc>
      </w:tr>
      <w:tr w:rsidR="003C2182" w14:paraId="6F58D6A4" w14:textId="77777777" w:rsidTr="00265D41">
        <w:tc>
          <w:tcPr>
            <w:tcW w:w="0" w:type="auto"/>
            <w:vAlign w:val="center"/>
          </w:tcPr>
          <w:p w14:paraId="4B19E071" w14:textId="2A4F6EBF" w:rsidR="003C2182" w:rsidRPr="006F45AC" w:rsidRDefault="003C2182" w:rsidP="003C2182">
            <w:pPr>
              <w:autoSpaceDE w:val="0"/>
              <w:autoSpaceDN w:val="0"/>
              <w:adjustRightInd w:val="0"/>
              <w:jc w:val="center"/>
              <w:rPr>
                <w:rFonts w:eastAsia="TimesNewRoman"/>
              </w:rPr>
            </w:pPr>
            <w:r w:rsidRPr="006F45AC">
              <w:rPr>
                <w:rFonts w:eastAsia="TimesNewRoman"/>
              </w:rPr>
              <w:t>MM4</w:t>
            </w:r>
          </w:p>
        </w:tc>
        <w:tc>
          <w:tcPr>
            <w:tcW w:w="0" w:type="auto"/>
            <w:vAlign w:val="center"/>
          </w:tcPr>
          <w:p w14:paraId="3AC42C7D" w14:textId="194975E4" w:rsidR="003C2182" w:rsidRPr="006F45AC" w:rsidRDefault="00AB7EBF" w:rsidP="003C2182">
            <w:pPr>
              <w:autoSpaceDE w:val="0"/>
              <w:autoSpaceDN w:val="0"/>
              <w:adjustRightInd w:val="0"/>
              <w:jc w:val="center"/>
              <w:rPr>
                <w:rFonts w:eastAsia="TimesNewRoman"/>
              </w:rPr>
            </w:pPr>
            <w:r>
              <w:rPr>
                <w:rFonts w:eastAsia="TimesNewRoman"/>
              </w:rPr>
              <w:t>&lt; 50</w:t>
            </w:r>
          </w:p>
        </w:tc>
        <w:tc>
          <w:tcPr>
            <w:tcW w:w="0" w:type="auto"/>
            <w:vAlign w:val="center"/>
          </w:tcPr>
          <w:p w14:paraId="12EB7E4C" w14:textId="0524DE84" w:rsidR="003C2182" w:rsidRPr="006F45AC" w:rsidRDefault="006F45AC" w:rsidP="003C2182">
            <w:pPr>
              <w:autoSpaceDE w:val="0"/>
              <w:autoSpaceDN w:val="0"/>
              <w:adjustRightInd w:val="0"/>
              <w:jc w:val="center"/>
              <w:rPr>
                <w:rFonts w:eastAsia="TimesNewRoman"/>
              </w:rPr>
            </w:pPr>
            <w:r>
              <w:rPr>
                <w:rFonts w:eastAsia="TimesNewRoman"/>
              </w:rPr>
              <w:t>34,7</w:t>
            </w:r>
          </w:p>
        </w:tc>
      </w:tr>
      <w:tr w:rsidR="003C2182" w14:paraId="4C8C4DED" w14:textId="77777777" w:rsidTr="00265D41">
        <w:tc>
          <w:tcPr>
            <w:tcW w:w="0" w:type="auto"/>
            <w:vAlign w:val="center"/>
          </w:tcPr>
          <w:p w14:paraId="3E2F31C9" w14:textId="79843DC6" w:rsidR="003C2182" w:rsidRPr="006F45AC" w:rsidRDefault="00B25123" w:rsidP="003C2182">
            <w:pPr>
              <w:autoSpaceDE w:val="0"/>
              <w:autoSpaceDN w:val="0"/>
              <w:adjustRightInd w:val="0"/>
              <w:jc w:val="center"/>
              <w:rPr>
                <w:rFonts w:eastAsia="TimesNewRoman"/>
              </w:rPr>
            </w:pPr>
            <w:r w:rsidRPr="006F45AC">
              <w:rPr>
                <w:rFonts w:eastAsia="TimesNewRoman"/>
              </w:rPr>
              <w:lastRenderedPageBreak/>
              <w:t>MM5</w:t>
            </w:r>
          </w:p>
        </w:tc>
        <w:tc>
          <w:tcPr>
            <w:tcW w:w="0" w:type="auto"/>
            <w:vAlign w:val="center"/>
          </w:tcPr>
          <w:p w14:paraId="3395CE8D" w14:textId="5157A28D" w:rsidR="003C2182" w:rsidRPr="006F45AC" w:rsidRDefault="00AB7EBF" w:rsidP="003C2182">
            <w:pPr>
              <w:autoSpaceDE w:val="0"/>
              <w:autoSpaceDN w:val="0"/>
              <w:adjustRightInd w:val="0"/>
              <w:jc w:val="center"/>
              <w:rPr>
                <w:rFonts w:eastAsia="TimesNewRoman"/>
              </w:rPr>
            </w:pPr>
            <w:r>
              <w:rPr>
                <w:rFonts w:eastAsia="TimesNewRoman"/>
              </w:rPr>
              <w:t>&lt; 50</w:t>
            </w:r>
          </w:p>
        </w:tc>
        <w:tc>
          <w:tcPr>
            <w:tcW w:w="0" w:type="auto"/>
            <w:vAlign w:val="center"/>
          </w:tcPr>
          <w:p w14:paraId="1521CB98" w14:textId="72790F5F" w:rsidR="003C2182" w:rsidRPr="006F45AC" w:rsidRDefault="006F45AC" w:rsidP="003C2182">
            <w:pPr>
              <w:autoSpaceDE w:val="0"/>
              <w:autoSpaceDN w:val="0"/>
              <w:adjustRightInd w:val="0"/>
              <w:jc w:val="center"/>
              <w:rPr>
                <w:rFonts w:eastAsia="TimesNewRoman"/>
              </w:rPr>
            </w:pPr>
            <w:r>
              <w:rPr>
                <w:rFonts w:eastAsia="TimesNewRoman"/>
              </w:rPr>
              <w:t>29,0</w:t>
            </w:r>
          </w:p>
        </w:tc>
      </w:tr>
    </w:tbl>
    <w:p w14:paraId="4477117F" w14:textId="35E77B1C" w:rsidR="00391D60" w:rsidRPr="00857447" w:rsidRDefault="00391D60" w:rsidP="006F45AC">
      <w:pPr>
        <w:pStyle w:val="Default"/>
        <w:numPr>
          <w:ilvl w:val="2"/>
          <w:numId w:val="25"/>
        </w:numPr>
        <w:spacing w:before="240"/>
        <w:jc w:val="both"/>
        <w:rPr>
          <w:rFonts w:ascii="Times New Roman" w:hAnsi="Times New Roman" w:cs="Times New Roman"/>
          <w:b/>
          <w:bCs/>
        </w:rPr>
      </w:pPr>
      <w:r w:rsidRPr="00857447">
        <w:rPr>
          <w:rFonts w:ascii="Times New Roman" w:hAnsi="Times New Roman" w:cs="Times New Roman"/>
          <w:b/>
          <w:bCs/>
        </w:rPr>
        <w:t>Hodnocení dle hygienických limitů stanovených v NV č. 272/2011 Sb., o ochraně před nepříznivými účinky hluku a vibrací</w:t>
      </w:r>
    </w:p>
    <w:p w14:paraId="26E70ADB" w14:textId="77777777" w:rsidR="00391D60" w:rsidRPr="00AF2ED0" w:rsidRDefault="00391D60" w:rsidP="00391D60">
      <w:pPr>
        <w:pStyle w:val="Zkladntext"/>
        <w:spacing w:before="120"/>
      </w:pPr>
      <w:r>
        <w:t>H</w:t>
      </w:r>
      <w:r w:rsidRPr="00AF2ED0">
        <w:t>ygienické limity jsou stanoveny v souladu s WHO (Světovou zdravotnickou organizací) tak, aby při celoživotní expozici hluku bylo chráněno zdraví běžné populace (obyvatel), přičemž je nutné mít na paměti, že dodržení hodnot hygienických limitů neznamená pro exponovanou populaci nulové riziko, ale celospolečensky přijatelné a únosné riziko.</w:t>
      </w:r>
    </w:p>
    <w:p w14:paraId="155B8E08" w14:textId="77777777" w:rsidR="00391D60" w:rsidRPr="00BF2800" w:rsidRDefault="00391D60" w:rsidP="00832C35">
      <w:pPr>
        <w:pStyle w:val="Default"/>
        <w:spacing w:before="120"/>
        <w:rPr>
          <w:rFonts w:ascii="Times New Roman" w:hAnsi="Times New Roman" w:cs="Times New Roman"/>
          <w:b/>
        </w:rPr>
      </w:pPr>
      <w:r w:rsidRPr="00BF2800">
        <w:rPr>
          <w:rFonts w:ascii="Times New Roman" w:hAnsi="Times New Roman" w:cs="Times New Roman"/>
          <w:b/>
        </w:rPr>
        <w:t xml:space="preserve">Pro hluk ze stacionárních zdrojů hluku </w:t>
      </w:r>
      <w:r>
        <w:rPr>
          <w:rFonts w:ascii="Times New Roman" w:hAnsi="Times New Roman" w:cs="Times New Roman"/>
          <w:b/>
        </w:rPr>
        <w:t xml:space="preserve">a hluk z dopravy po účelových komunikacích </w:t>
      </w:r>
      <w:r w:rsidRPr="00BF2800">
        <w:rPr>
          <w:rFonts w:ascii="Times New Roman" w:hAnsi="Times New Roman" w:cs="Times New Roman"/>
          <w:b/>
        </w:rPr>
        <w:t xml:space="preserve">pro chráněné venkovní prostory ostatních staveb </w:t>
      </w:r>
    </w:p>
    <w:p w14:paraId="74647F4D" w14:textId="77777777" w:rsidR="00391D60" w:rsidRPr="00BF2800" w:rsidRDefault="00391D60" w:rsidP="009A34F3">
      <w:pPr>
        <w:pStyle w:val="Default"/>
        <w:rPr>
          <w:rFonts w:ascii="Times New Roman" w:hAnsi="Times New Roman" w:cs="Times New Roman"/>
        </w:rPr>
      </w:pPr>
      <w:r w:rsidRPr="00BF2800">
        <w:rPr>
          <w:rFonts w:ascii="Times New Roman" w:hAnsi="Times New Roman" w:cs="Times New Roman"/>
        </w:rPr>
        <w:t xml:space="preserve">Denní doba (6.00- </w:t>
      </w:r>
      <w:smartTag w:uri="urn:schemas-microsoft-com:office:smarttags" w:element="time">
        <w:smartTagPr>
          <w:attr w:name="Minute" w:val="00"/>
          <w:attr w:name="Hour" w:val="22"/>
        </w:smartTagPr>
        <w:r w:rsidRPr="00BF2800">
          <w:rPr>
            <w:rFonts w:ascii="Times New Roman" w:hAnsi="Times New Roman" w:cs="Times New Roman"/>
          </w:rPr>
          <w:t>22.00</w:t>
        </w:r>
      </w:smartTag>
      <w:r w:rsidRPr="00BF2800">
        <w:rPr>
          <w:rFonts w:ascii="Times New Roman" w:hAnsi="Times New Roman" w:cs="Times New Roman"/>
        </w:rPr>
        <w:t xml:space="preserve"> h) </w:t>
      </w:r>
      <w:r>
        <w:rPr>
          <w:rFonts w:ascii="Times New Roman" w:hAnsi="Times New Roman" w:cs="Times New Roman"/>
        </w:rPr>
        <w:tab/>
      </w:r>
      <w:r w:rsidRPr="00BF2800">
        <w:rPr>
          <w:rFonts w:ascii="Times New Roman" w:hAnsi="Times New Roman" w:cs="Times New Roman"/>
          <w:b/>
        </w:rPr>
        <w:t>L</w:t>
      </w:r>
      <w:r w:rsidRPr="00BF2800">
        <w:rPr>
          <w:rFonts w:ascii="Times New Roman" w:hAnsi="Times New Roman" w:cs="Times New Roman"/>
          <w:b/>
          <w:vertAlign w:val="subscript"/>
        </w:rPr>
        <w:t xml:space="preserve">Aeq,8h </w:t>
      </w:r>
      <w:r w:rsidRPr="00BF2800">
        <w:rPr>
          <w:rFonts w:ascii="Times New Roman" w:hAnsi="Times New Roman" w:cs="Times New Roman"/>
          <w:b/>
        </w:rPr>
        <w:t>= 50 dB</w:t>
      </w:r>
      <w:r w:rsidRPr="00BF2800">
        <w:rPr>
          <w:rFonts w:ascii="Times New Roman" w:hAnsi="Times New Roman" w:cs="Times New Roman"/>
        </w:rPr>
        <w:t xml:space="preserve"> </w:t>
      </w:r>
    </w:p>
    <w:p w14:paraId="4E74A83B" w14:textId="77777777" w:rsidR="00391D60" w:rsidRPr="00BF2800" w:rsidRDefault="00391D60" w:rsidP="009A34F3">
      <w:pPr>
        <w:pStyle w:val="Default"/>
        <w:rPr>
          <w:rFonts w:ascii="Times New Roman" w:hAnsi="Times New Roman" w:cs="Times New Roman"/>
        </w:rPr>
      </w:pPr>
      <w:r w:rsidRPr="00BF2800">
        <w:rPr>
          <w:rFonts w:ascii="Times New Roman" w:hAnsi="Times New Roman" w:cs="Times New Roman"/>
        </w:rPr>
        <w:t>Noční doba (22.00-6.00 h)</w:t>
      </w:r>
      <w:r>
        <w:rPr>
          <w:rFonts w:ascii="Times New Roman" w:hAnsi="Times New Roman" w:cs="Times New Roman"/>
          <w:i/>
          <w:iCs/>
        </w:rPr>
        <w:tab/>
      </w:r>
      <w:r w:rsidRPr="00BF2800">
        <w:rPr>
          <w:rFonts w:ascii="Times New Roman" w:hAnsi="Times New Roman" w:cs="Times New Roman"/>
          <w:b/>
          <w:iCs/>
        </w:rPr>
        <w:t>L</w:t>
      </w:r>
      <w:r w:rsidRPr="00BF2800">
        <w:rPr>
          <w:rFonts w:ascii="Times New Roman" w:hAnsi="Times New Roman" w:cs="Times New Roman"/>
          <w:b/>
          <w:vertAlign w:val="subscript"/>
        </w:rPr>
        <w:t>Aeq,1h</w:t>
      </w:r>
      <w:r w:rsidRPr="00BF2800">
        <w:rPr>
          <w:rFonts w:ascii="Times New Roman" w:hAnsi="Times New Roman" w:cs="Times New Roman"/>
          <w:b/>
        </w:rPr>
        <w:t xml:space="preserve"> = </w:t>
      </w:r>
      <w:r>
        <w:rPr>
          <w:rFonts w:ascii="Times New Roman" w:hAnsi="Times New Roman" w:cs="Times New Roman"/>
          <w:b/>
        </w:rPr>
        <w:t>4</w:t>
      </w:r>
      <w:r w:rsidRPr="00BF2800">
        <w:rPr>
          <w:rFonts w:ascii="Times New Roman" w:hAnsi="Times New Roman" w:cs="Times New Roman"/>
          <w:b/>
        </w:rPr>
        <w:t>0 dB</w:t>
      </w:r>
      <w:r w:rsidRPr="00BF2800">
        <w:rPr>
          <w:rFonts w:ascii="Times New Roman" w:hAnsi="Times New Roman" w:cs="Times New Roman"/>
        </w:rPr>
        <w:t xml:space="preserve"> </w:t>
      </w:r>
    </w:p>
    <w:p w14:paraId="6C66B1A1" w14:textId="77777777" w:rsidR="00391D60" w:rsidRPr="00BF2800" w:rsidRDefault="00391D60" w:rsidP="009A34F3">
      <w:pPr>
        <w:pStyle w:val="Default"/>
        <w:rPr>
          <w:rFonts w:ascii="Times New Roman" w:hAnsi="Times New Roman" w:cs="Times New Roman"/>
        </w:rPr>
      </w:pPr>
      <w:r w:rsidRPr="00BF2800">
        <w:rPr>
          <w:rFonts w:ascii="Times New Roman" w:hAnsi="Times New Roman" w:cs="Times New Roman"/>
        </w:rPr>
        <w:t xml:space="preserve">přičemž v případě prokázání výskytu tónové složky se přičítá korekce – 5 dB. </w:t>
      </w:r>
    </w:p>
    <w:p w14:paraId="140A441C" w14:textId="7289AF67" w:rsidR="00391D60" w:rsidRPr="007D6E6A" w:rsidRDefault="00391D60" w:rsidP="007D6E6A">
      <w:pPr>
        <w:pStyle w:val="Default"/>
        <w:spacing w:before="120"/>
        <w:jc w:val="both"/>
        <w:rPr>
          <w:rFonts w:ascii="Times New Roman" w:hAnsi="Times New Roman" w:cs="Times New Roman"/>
        </w:rPr>
      </w:pPr>
      <w:r w:rsidRPr="005178F3">
        <w:rPr>
          <w:rFonts w:ascii="Times New Roman" w:hAnsi="Times New Roman" w:cs="Times New Roman"/>
        </w:rPr>
        <w:t>Stavbami pro bydlení jsou stavby, které slouží by</w:t>
      </w:r>
      <w:r w:rsidRPr="005178F3">
        <w:rPr>
          <w:rFonts w:ascii="Times New Roman" w:eastAsia="TimesNewRoman" w:hAnsi="Times New Roman" w:cs="Times New Roman"/>
        </w:rPr>
        <w:t xml:space="preserve">ť </w:t>
      </w:r>
      <w:r w:rsidRPr="005178F3">
        <w:rPr>
          <w:rFonts w:ascii="Times New Roman" w:hAnsi="Times New Roman" w:cs="Times New Roman"/>
        </w:rPr>
        <w:t xml:space="preserve">i jen z </w:t>
      </w:r>
      <w:r w:rsidRPr="005178F3">
        <w:rPr>
          <w:rFonts w:ascii="Times New Roman" w:eastAsia="TimesNewRoman" w:hAnsi="Times New Roman" w:cs="Times New Roman"/>
        </w:rPr>
        <w:t>č</w:t>
      </w:r>
      <w:r w:rsidRPr="005178F3">
        <w:rPr>
          <w:rFonts w:ascii="Times New Roman" w:hAnsi="Times New Roman" w:cs="Times New Roman"/>
        </w:rPr>
        <w:t>ásti pro bydlení</w:t>
      </w:r>
      <w:r>
        <w:t xml:space="preserve">. </w:t>
      </w:r>
      <w:r w:rsidRPr="007D6E6A">
        <w:rPr>
          <w:rFonts w:ascii="Times New Roman" w:hAnsi="Times New Roman" w:cs="Times New Roman"/>
        </w:rPr>
        <w:t>Chrán</w:t>
      </w:r>
      <w:r w:rsidRPr="007D6E6A">
        <w:rPr>
          <w:rFonts w:ascii="Times New Roman" w:eastAsia="TimesNewRoman" w:hAnsi="Times New Roman" w:cs="Times New Roman"/>
        </w:rPr>
        <w:t>ě</w:t>
      </w:r>
      <w:r w:rsidRPr="007D6E6A">
        <w:rPr>
          <w:rFonts w:ascii="Times New Roman" w:hAnsi="Times New Roman" w:cs="Times New Roman"/>
        </w:rPr>
        <w:t xml:space="preserve">ným venkovním prostorem stavby se rozumí prostor do vzdálenosti 2 m od objektu pro bydlení. </w:t>
      </w:r>
    </w:p>
    <w:p w14:paraId="09D3ABC5" w14:textId="7FA4978F" w:rsidR="009A34F3" w:rsidRDefault="009A34F3" w:rsidP="00B209DD">
      <w:pPr>
        <w:spacing w:before="120"/>
        <w:jc w:val="both"/>
        <w:rPr>
          <w:b/>
        </w:rPr>
      </w:pPr>
      <w:r>
        <w:rPr>
          <w:b/>
        </w:rPr>
        <w:t>Pro hluk pronikající vzduchem zvenčí v chráněných vnitřních prostorech staveb</w:t>
      </w:r>
    </w:p>
    <w:p w14:paraId="7B5063C7" w14:textId="2D1556AB" w:rsidR="009A34F3" w:rsidRPr="00BF2800" w:rsidRDefault="009A34F3" w:rsidP="009A34F3">
      <w:pPr>
        <w:pStyle w:val="Default"/>
        <w:rPr>
          <w:rFonts w:ascii="Times New Roman" w:hAnsi="Times New Roman" w:cs="Times New Roman"/>
        </w:rPr>
      </w:pPr>
      <w:r w:rsidRPr="00BF2800">
        <w:rPr>
          <w:rFonts w:ascii="Times New Roman" w:hAnsi="Times New Roman" w:cs="Times New Roman"/>
        </w:rPr>
        <w:t xml:space="preserve">Denní doba (6.00- </w:t>
      </w:r>
      <w:smartTag w:uri="urn:schemas-microsoft-com:office:smarttags" w:element="time">
        <w:smartTagPr>
          <w:attr w:name="Minute" w:val="00"/>
          <w:attr w:name="Hour" w:val="22"/>
        </w:smartTagPr>
        <w:r w:rsidRPr="00BF2800">
          <w:rPr>
            <w:rFonts w:ascii="Times New Roman" w:hAnsi="Times New Roman" w:cs="Times New Roman"/>
          </w:rPr>
          <w:t>22.00</w:t>
        </w:r>
      </w:smartTag>
      <w:r w:rsidRPr="00BF2800">
        <w:rPr>
          <w:rFonts w:ascii="Times New Roman" w:hAnsi="Times New Roman" w:cs="Times New Roman"/>
        </w:rPr>
        <w:t xml:space="preserve"> h) </w:t>
      </w:r>
      <w:r>
        <w:rPr>
          <w:rFonts w:ascii="Times New Roman" w:hAnsi="Times New Roman" w:cs="Times New Roman"/>
        </w:rPr>
        <w:tab/>
      </w:r>
      <w:r w:rsidRPr="00BF2800">
        <w:rPr>
          <w:rFonts w:ascii="Times New Roman" w:hAnsi="Times New Roman" w:cs="Times New Roman"/>
          <w:b/>
        </w:rPr>
        <w:t>L</w:t>
      </w:r>
      <w:r w:rsidRPr="00BF2800">
        <w:rPr>
          <w:rFonts w:ascii="Times New Roman" w:hAnsi="Times New Roman" w:cs="Times New Roman"/>
          <w:b/>
          <w:vertAlign w:val="subscript"/>
        </w:rPr>
        <w:t xml:space="preserve">Aeq,8h </w:t>
      </w:r>
      <w:r w:rsidRPr="00BF2800">
        <w:rPr>
          <w:rFonts w:ascii="Times New Roman" w:hAnsi="Times New Roman" w:cs="Times New Roman"/>
          <w:b/>
        </w:rPr>
        <w:t xml:space="preserve">= </w:t>
      </w:r>
      <w:r>
        <w:rPr>
          <w:rFonts w:ascii="Times New Roman" w:hAnsi="Times New Roman" w:cs="Times New Roman"/>
          <w:b/>
        </w:rPr>
        <w:t>4</w:t>
      </w:r>
      <w:r w:rsidRPr="00BF2800">
        <w:rPr>
          <w:rFonts w:ascii="Times New Roman" w:hAnsi="Times New Roman" w:cs="Times New Roman"/>
          <w:b/>
        </w:rPr>
        <w:t>0 dB</w:t>
      </w:r>
      <w:r w:rsidRPr="00BF2800">
        <w:rPr>
          <w:rFonts w:ascii="Times New Roman" w:hAnsi="Times New Roman" w:cs="Times New Roman"/>
        </w:rPr>
        <w:t xml:space="preserve"> </w:t>
      </w:r>
    </w:p>
    <w:p w14:paraId="5610C141" w14:textId="7CE1DB3C" w:rsidR="009A34F3" w:rsidRPr="00BF2800" w:rsidRDefault="009A34F3" w:rsidP="009A34F3">
      <w:pPr>
        <w:pStyle w:val="Default"/>
        <w:rPr>
          <w:rFonts w:ascii="Times New Roman" w:hAnsi="Times New Roman" w:cs="Times New Roman"/>
        </w:rPr>
      </w:pPr>
      <w:r w:rsidRPr="00BF2800">
        <w:rPr>
          <w:rFonts w:ascii="Times New Roman" w:hAnsi="Times New Roman" w:cs="Times New Roman"/>
        </w:rPr>
        <w:t>Noční doba (22.00-6.00 h)</w:t>
      </w:r>
      <w:r>
        <w:rPr>
          <w:rFonts w:ascii="Times New Roman" w:hAnsi="Times New Roman" w:cs="Times New Roman"/>
          <w:i/>
          <w:iCs/>
        </w:rPr>
        <w:tab/>
      </w:r>
      <w:r w:rsidRPr="00BF2800">
        <w:rPr>
          <w:rFonts w:ascii="Times New Roman" w:hAnsi="Times New Roman" w:cs="Times New Roman"/>
          <w:b/>
          <w:iCs/>
        </w:rPr>
        <w:t>L</w:t>
      </w:r>
      <w:r w:rsidRPr="00BF2800">
        <w:rPr>
          <w:rFonts w:ascii="Times New Roman" w:hAnsi="Times New Roman" w:cs="Times New Roman"/>
          <w:b/>
          <w:vertAlign w:val="subscript"/>
        </w:rPr>
        <w:t>Aeq,1h</w:t>
      </w:r>
      <w:r w:rsidRPr="00BF2800">
        <w:rPr>
          <w:rFonts w:ascii="Times New Roman" w:hAnsi="Times New Roman" w:cs="Times New Roman"/>
          <w:b/>
        </w:rPr>
        <w:t xml:space="preserve"> = </w:t>
      </w:r>
      <w:r>
        <w:rPr>
          <w:rFonts w:ascii="Times New Roman" w:hAnsi="Times New Roman" w:cs="Times New Roman"/>
          <w:b/>
        </w:rPr>
        <w:t>3</w:t>
      </w:r>
      <w:r w:rsidRPr="00BF2800">
        <w:rPr>
          <w:rFonts w:ascii="Times New Roman" w:hAnsi="Times New Roman" w:cs="Times New Roman"/>
          <w:b/>
        </w:rPr>
        <w:t>0 dB</w:t>
      </w:r>
      <w:r w:rsidRPr="00BF2800">
        <w:rPr>
          <w:rFonts w:ascii="Times New Roman" w:hAnsi="Times New Roman" w:cs="Times New Roman"/>
        </w:rPr>
        <w:t xml:space="preserve"> </w:t>
      </w:r>
    </w:p>
    <w:p w14:paraId="5BD2AD1C" w14:textId="77777777" w:rsidR="009A34F3" w:rsidRPr="00BF2800" w:rsidRDefault="009A34F3" w:rsidP="009A34F3">
      <w:pPr>
        <w:pStyle w:val="Default"/>
        <w:rPr>
          <w:rFonts w:ascii="Times New Roman" w:hAnsi="Times New Roman" w:cs="Times New Roman"/>
        </w:rPr>
      </w:pPr>
      <w:r w:rsidRPr="00BF2800">
        <w:rPr>
          <w:rFonts w:ascii="Times New Roman" w:hAnsi="Times New Roman" w:cs="Times New Roman"/>
        </w:rPr>
        <w:t xml:space="preserve">přičemž v případě prokázání výskytu tónové složky se přičítá korekce – 5 dB. </w:t>
      </w:r>
    </w:p>
    <w:p w14:paraId="11155A13" w14:textId="77777777" w:rsidR="00B209DD" w:rsidRPr="00BF0313" w:rsidRDefault="00B209DD" w:rsidP="00B209DD">
      <w:pPr>
        <w:spacing w:before="120"/>
        <w:jc w:val="both"/>
        <w:rPr>
          <w:b/>
        </w:rPr>
      </w:pPr>
      <w:r w:rsidRPr="00BF0313">
        <w:rPr>
          <w:b/>
        </w:rPr>
        <w:t xml:space="preserve">K odsouhlasení uvedených hygienických limitů je oprávněn místně příslušný orgán ochrany veřejného zdraví. </w:t>
      </w:r>
    </w:p>
    <w:p w14:paraId="24D4B0D6" w14:textId="77777777" w:rsidR="00B26AB3" w:rsidRDefault="00B26AB3" w:rsidP="00391D60">
      <w:pPr>
        <w:autoSpaceDE w:val="0"/>
        <w:autoSpaceDN w:val="0"/>
        <w:adjustRightInd w:val="0"/>
        <w:jc w:val="both"/>
      </w:pPr>
    </w:p>
    <w:p w14:paraId="6203692D" w14:textId="4E5AA620" w:rsidR="00391D60" w:rsidRPr="007D6E6A" w:rsidRDefault="00391D60" w:rsidP="00391D60">
      <w:pPr>
        <w:pStyle w:val="Default"/>
        <w:jc w:val="both"/>
        <w:rPr>
          <w:rFonts w:ascii="Times New Roman" w:hAnsi="Times New Roman" w:cs="Times New Roman"/>
          <w:b/>
          <w:bCs/>
        </w:rPr>
      </w:pPr>
      <w:r w:rsidRPr="007D6E6A">
        <w:rPr>
          <w:rFonts w:ascii="Times New Roman" w:hAnsi="Times New Roman" w:cs="Times New Roman"/>
          <w:b/>
          <w:bCs/>
        </w:rPr>
        <w:t xml:space="preserve">Na základě provedených </w:t>
      </w:r>
      <w:r w:rsidR="007D6E6A" w:rsidRPr="007D6E6A">
        <w:rPr>
          <w:rFonts w:ascii="Times New Roman" w:hAnsi="Times New Roman" w:cs="Times New Roman"/>
          <w:b/>
          <w:bCs/>
        </w:rPr>
        <w:t>měření</w:t>
      </w:r>
      <w:r w:rsidRPr="007D6E6A">
        <w:rPr>
          <w:rFonts w:ascii="Times New Roman" w:hAnsi="Times New Roman" w:cs="Times New Roman"/>
          <w:b/>
          <w:bCs/>
        </w:rPr>
        <w:t xml:space="preserve"> </w:t>
      </w:r>
      <w:r w:rsidR="007D6E6A" w:rsidRPr="007D6E6A">
        <w:rPr>
          <w:rFonts w:ascii="Times New Roman" w:hAnsi="Times New Roman" w:cs="Times New Roman"/>
          <w:b/>
          <w:bCs/>
        </w:rPr>
        <w:t xml:space="preserve">hluku z provozu posuzovaného záměru </w:t>
      </w:r>
      <w:r w:rsidRPr="007D6E6A">
        <w:rPr>
          <w:rFonts w:ascii="Times New Roman" w:hAnsi="Times New Roman" w:cs="Times New Roman"/>
          <w:b/>
          <w:bCs/>
        </w:rPr>
        <w:t xml:space="preserve">lze konstatovat, že </w:t>
      </w:r>
      <w:r w:rsidR="007D6E6A" w:rsidRPr="007D6E6A">
        <w:rPr>
          <w:rFonts w:ascii="Times New Roman" w:hAnsi="Times New Roman" w:cs="Times New Roman"/>
          <w:b/>
          <w:bCs/>
        </w:rPr>
        <w:t xml:space="preserve">v současné době: </w:t>
      </w:r>
    </w:p>
    <w:p w14:paraId="07AE3418" w14:textId="30DB9256" w:rsidR="006F45AC" w:rsidRPr="007D6E6A" w:rsidRDefault="007D6E6A" w:rsidP="006F45AC">
      <w:pPr>
        <w:pStyle w:val="Default"/>
        <w:numPr>
          <w:ilvl w:val="0"/>
          <w:numId w:val="28"/>
        </w:numPr>
        <w:jc w:val="both"/>
        <w:rPr>
          <w:rFonts w:ascii="Times New Roman" w:hAnsi="Times New Roman" w:cs="Times New Roman"/>
          <w:b/>
          <w:bCs/>
        </w:rPr>
      </w:pPr>
      <w:r w:rsidRPr="007D6E6A">
        <w:rPr>
          <w:rFonts w:ascii="Times New Roman" w:hAnsi="Times New Roman" w:cs="Times New Roman"/>
          <w:b/>
          <w:bCs/>
        </w:rPr>
        <w:t xml:space="preserve">není </w:t>
      </w:r>
      <w:r w:rsidR="006F45AC" w:rsidRPr="007D6E6A">
        <w:rPr>
          <w:rFonts w:ascii="Times New Roman" w:hAnsi="Times New Roman" w:cs="Times New Roman"/>
          <w:b/>
          <w:bCs/>
        </w:rPr>
        <w:t xml:space="preserve">v chráněných venkovních prostorech </w:t>
      </w:r>
      <w:r w:rsidRPr="007D6E6A">
        <w:rPr>
          <w:rFonts w:ascii="Times New Roman" w:hAnsi="Times New Roman" w:cs="Times New Roman"/>
          <w:b/>
          <w:bCs/>
        </w:rPr>
        <w:t xml:space="preserve">nejbližších </w:t>
      </w:r>
      <w:r w:rsidR="006F45AC" w:rsidRPr="007D6E6A">
        <w:rPr>
          <w:rFonts w:ascii="Times New Roman" w:hAnsi="Times New Roman" w:cs="Times New Roman"/>
          <w:b/>
          <w:bCs/>
        </w:rPr>
        <w:t xml:space="preserve">staveb </w:t>
      </w:r>
      <w:r w:rsidRPr="007D6E6A">
        <w:rPr>
          <w:rFonts w:ascii="Times New Roman" w:hAnsi="Times New Roman" w:cs="Times New Roman"/>
          <w:b/>
          <w:bCs/>
        </w:rPr>
        <w:t xml:space="preserve">v denní době </w:t>
      </w:r>
      <w:r w:rsidR="006F45AC" w:rsidRPr="007D6E6A">
        <w:rPr>
          <w:rFonts w:ascii="Times New Roman" w:hAnsi="Times New Roman" w:cs="Times New Roman"/>
          <w:b/>
          <w:bCs/>
        </w:rPr>
        <w:t xml:space="preserve">překračován hygienický limit pro hluk ze stacionárních zdrojů </w:t>
      </w:r>
    </w:p>
    <w:p w14:paraId="50838C8A" w14:textId="4D6C9D3A" w:rsidR="007D6E6A" w:rsidRDefault="007D6E6A" w:rsidP="009A34F3">
      <w:pPr>
        <w:pStyle w:val="Odstavecseseznamem"/>
        <w:numPr>
          <w:ilvl w:val="0"/>
          <w:numId w:val="19"/>
        </w:numPr>
        <w:autoSpaceDE w:val="0"/>
        <w:autoSpaceDN w:val="0"/>
        <w:adjustRightInd w:val="0"/>
        <w:spacing w:before="120"/>
        <w:ind w:left="357" w:hanging="357"/>
        <w:jc w:val="both"/>
        <w:rPr>
          <w:rFonts w:eastAsia="TimesNewRoman"/>
          <w:b/>
        </w:rPr>
      </w:pPr>
      <w:r>
        <w:rPr>
          <w:rFonts w:eastAsia="TimesNewRoman"/>
          <w:b/>
        </w:rPr>
        <w:t>h</w:t>
      </w:r>
      <w:r w:rsidRPr="007D6E6A">
        <w:rPr>
          <w:rFonts w:eastAsia="TimesNewRoman"/>
          <w:b/>
        </w:rPr>
        <w:t>ygienický limit pro noční dobu pro hluk ze stacionárních zdrojů je překračován v chráněném venkovním prostoru domu čp. 206 v Masarykově ulici v</w:t>
      </w:r>
      <w:r w:rsidR="009A34F3">
        <w:rPr>
          <w:rFonts w:eastAsia="TimesNewRoman"/>
          <w:b/>
        </w:rPr>
        <w:t> </w:t>
      </w:r>
      <w:r w:rsidRPr="007D6E6A">
        <w:rPr>
          <w:rFonts w:eastAsia="TimesNewRoman"/>
          <w:b/>
        </w:rPr>
        <w:t>Častolovicích</w:t>
      </w:r>
    </w:p>
    <w:p w14:paraId="14A00F3E" w14:textId="0ED979A2" w:rsidR="007D6E6A" w:rsidRPr="00F273F7" w:rsidRDefault="009A34F3" w:rsidP="00524BDE">
      <w:pPr>
        <w:pStyle w:val="Odstavecseseznamem"/>
        <w:numPr>
          <w:ilvl w:val="0"/>
          <w:numId w:val="19"/>
        </w:numPr>
        <w:autoSpaceDE w:val="0"/>
        <w:autoSpaceDN w:val="0"/>
        <w:adjustRightInd w:val="0"/>
        <w:spacing w:before="120"/>
        <w:ind w:left="357" w:hanging="357"/>
        <w:contextualSpacing w:val="0"/>
        <w:jc w:val="both"/>
        <w:rPr>
          <w:b/>
        </w:rPr>
      </w:pPr>
      <w:r w:rsidRPr="009A34F3">
        <w:rPr>
          <w:rFonts w:eastAsia="TimesNewRoman"/>
          <w:b/>
        </w:rPr>
        <w:t xml:space="preserve">hygienický limit pro noční dobu pro hluk </w:t>
      </w:r>
      <w:r w:rsidRPr="009A34F3">
        <w:rPr>
          <w:b/>
        </w:rPr>
        <w:t xml:space="preserve">pronikající vzduchem zvenčí v chráněných vnitřních prostorech </w:t>
      </w:r>
      <w:r w:rsidRPr="007D6E6A">
        <w:rPr>
          <w:rFonts w:eastAsia="TimesNewRoman"/>
          <w:b/>
        </w:rPr>
        <w:t>domu čp. 206 v Masarykově ulici v</w:t>
      </w:r>
      <w:r w:rsidR="00F273F7">
        <w:rPr>
          <w:rFonts w:eastAsia="TimesNewRoman"/>
          <w:b/>
        </w:rPr>
        <w:t> </w:t>
      </w:r>
      <w:r w:rsidRPr="007D6E6A">
        <w:rPr>
          <w:rFonts w:eastAsia="TimesNewRoman"/>
          <w:b/>
        </w:rPr>
        <w:t>Častolovicích</w:t>
      </w:r>
      <w:r w:rsidR="00F273F7">
        <w:rPr>
          <w:rFonts w:eastAsia="TimesNewRoman"/>
          <w:b/>
        </w:rPr>
        <w:t xml:space="preserve"> není překročen</w:t>
      </w:r>
    </w:p>
    <w:p w14:paraId="481BE2F7" w14:textId="77777777" w:rsidR="00F273F7" w:rsidRPr="00F273F7" w:rsidRDefault="00F273F7" w:rsidP="00F273F7">
      <w:pPr>
        <w:autoSpaceDE w:val="0"/>
        <w:autoSpaceDN w:val="0"/>
        <w:adjustRightInd w:val="0"/>
        <w:spacing w:before="120"/>
        <w:jc w:val="both"/>
        <w:rPr>
          <w:b/>
        </w:rPr>
      </w:pPr>
    </w:p>
    <w:p w14:paraId="5FF731ED" w14:textId="77777777" w:rsidR="00391D60" w:rsidRPr="00BC27F5" w:rsidRDefault="00391D60" w:rsidP="007D6E6A">
      <w:pPr>
        <w:jc w:val="both"/>
      </w:pPr>
      <w:r>
        <w:rPr>
          <w:b/>
        </w:rPr>
        <w:t>4.3.2</w:t>
      </w:r>
      <w:r>
        <w:rPr>
          <w:b/>
        </w:rPr>
        <w:tab/>
      </w:r>
      <w:r w:rsidRPr="001D5431">
        <w:rPr>
          <w:b/>
        </w:rPr>
        <w:t xml:space="preserve">Hodnocení </w:t>
      </w:r>
      <w:r>
        <w:rPr>
          <w:b/>
        </w:rPr>
        <w:t>zdravotních rizik</w:t>
      </w:r>
      <w:r w:rsidRPr="00BC27F5">
        <w:t xml:space="preserve"> </w:t>
      </w:r>
    </w:p>
    <w:p w14:paraId="29434CBB" w14:textId="77777777" w:rsidR="00391D60" w:rsidRPr="00EE41EE" w:rsidRDefault="00391D60" w:rsidP="00391D60">
      <w:pPr>
        <w:pStyle w:val="Default"/>
        <w:spacing w:before="120"/>
        <w:jc w:val="both"/>
        <w:rPr>
          <w:rFonts w:ascii="Times New Roman" w:hAnsi="Times New Roman" w:cs="Times New Roman"/>
          <w:bCs/>
        </w:rPr>
      </w:pPr>
      <w:bookmarkStart w:id="4" w:name="_Toc384364992"/>
      <w:bookmarkStart w:id="5" w:name="_Toc392765423"/>
      <w:r w:rsidRPr="00EE41EE">
        <w:rPr>
          <w:rFonts w:ascii="Times New Roman" w:hAnsi="Times New Roman" w:cs="Times New Roman"/>
          <w:bCs/>
        </w:rPr>
        <w:t>Hodnocení zdravotních rizik</w:t>
      </w:r>
      <w:r w:rsidRPr="00EE41EE">
        <w:rPr>
          <w:rFonts w:ascii="Times New Roman" w:hAnsi="Times New Roman" w:cs="Times New Roman"/>
          <w:b/>
          <w:bCs/>
        </w:rPr>
        <w:t xml:space="preserve"> </w:t>
      </w:r>
      <w:r w:rsidRPr="00EE41EE">
        <w:rPr>
          <w:rFonts w:ascii="Times New Roman" w:hAnsi="Times New Roman" w:cs="Times New Roman"/>
          <w:bCs/>
        </w:rPr>
        <w:t>posuzuje nejenom změny expozice hluku, ale především počty exponovaných obyvatel, resp. zdravotní dopady na obyvatele žijící v posuzovaném území. Pro tato posouzení jsou používány jiné hlukové ukazatele, než jsou ukazatele pro porovnání s hygienickými limity.</w:t>
      </w:r>
    </w:p>
    <w:p w14:paraId="15E37089" w14:textId="77777777" w:rsidR="00391D60" w:rsidRPr="00EE41EE" w:rsidRDefault="00391D60" w:rsidP="00391D60">
      <w:pPr>
        <w:pStyle w:val="Default"/>
        <w:spacing w:before="120"/>
        <w:jc w:val="both"/>
        <w:rPr>
          <w:rFonts w:ascii="Times New Roman" w:hAnsi="Times New Roman" w:cs="Times New Roman"/>
        </w:rPr>
      </w:pPr>
      <w:r w:rsidRPr="00EE41EE">
        <w:rPr>
          <w:rFonts w:ascii="Times New Roman" w:hAnsi="Times New Roman" w:cs="Times New Roman"/>
        </w:rPr>
        <w:t xml:space="preserve">Prahové hladiny hluku považované v současné době za dostatečně prokázané v závislosti na různých zdrojích hluku jsou stručně shrnuty v následujícím přehledu: </w:t>
      </w:r>
    </w:p>
    <w:p w14:paraId="51610000" w14:textId="77777777" w:rsidR="00391D60" w:rsidRPr="00EE41EE" w:rsidRDefault="00391D60" w:rsidP="00391D60">
      <w:pPr>
        <w:pStyle w:val="Default"/>
        <w:rPr>
          <w:rFonts w:ascii="Times New Roman" w:hAnsi="Times New Roman" w:cs="Times New Roman"/>
        </w:rPr>
      </w:pPr>
      <w:r w:rsidRPr="00EE41EE">
        <w:rPr>
          <w:rFonts w:ascii="Times New Roman" w:hAnsi="Times New Roman" w:cs="Times New Roman"/>
        </w:rPr>
        <w:t xml:space="preserve">Silniční a železniční doprava: rušení spánku: </w:t>
      </w:r>
      <w:r w:rsidRPr="00EE41EE">
        <w:rPr>
          <w:rFonts w:ascii="Times New Roman" w:hAnsi="Times New Roman" w:cs="Times New Roman"/>
        </w:rPr>
        <w:tab/>
      </w:r>
      <w:r w:rsidRPr="00EE41EE">
        <w:rPr>
          <w:rFonts w:ascii="Times New Roman" w:hAnsi="Times New Roman" w:cs="Times New Roman"/>
        </w:rPr>
        <w:tab/>
        <w:t xml:space="preserve">   L</w:t>
      </w:r>
      <w:r w:rsidRPr="00EE41EE">
        <w:rPr>
          <w:rFonts w:ascii="Times New Roman" w:hAnsi="Times New Roman" w:cs="Times New Roman"/>
          <w:vertAlign w:val="subscript"/>
        </w:rPr>
        <w:t>n</w:t>
      </w:r>
      <w:r w:rsidRPr="00EE41EE">
        <w:rPr>
          <w:rFonts w:ascii="Times New Roman" w:hAnsi="Times New Roman" w:cs="Times New Roman"/>
        </w:rPr>
        <w:t xml:space="preserve"> &gt; 40 dB </w:t>
      </w:r>
    </w:p>
    <w:p w14:paraId="1149DDBD" w14:textId="77777777" w:rsidR="00391D60" w:rsidRPr="00EE41EE" w:rsidRDefault="00391D60" w:rsidP="00391D60">
      <w:pPr>
        <w:pStyle w:val="Default"/>
        <w:ind w:left="2124" w:firstLine="708"/>
        <w:rPr>
          <w:rFonts w:ascii="Times New Roman" w:hAnsi="Times New Roman" w:cs="Times New Roman"/>
        </w:rPr>
      </w:pPr>
      <w:r w:rsidRPr="00EE41EE">
        <w:rPr>
          <w:rFonts w:ascii="Times New Roman" w:hAnsi="Times New Roman" w:cs="Times New Roman"/>
        </w:rPr>
        <w:t xml:space="preserve"> obtěžování: </w:t>
      </w:r>
      <w:r w:rsidRPr="00EE41EE">
        <w:rPr>
          <w:rFonts w:ascii="Times New Roman" w:hAnsi="Times New Roman" w:cs="Times New Roman"/>
        </w:rPr>
        <w:tab/>
      </w:r>
      <w:r w:rsidRPr="00EE41EE">
        <w:rPr>
          <w:rFonts w:ascii="Times New Roman" w:hAnsi="Times New Roman" w:cs="Times New Roman"/>
        </w:rPr>
        <w:tab/>
      </w:r>
      <w:r w:rsidRPr="00EE41EE">
        <w:rPr>
          <w:rFonts w:ascii="Times New Roman" w:hAnsi="Times New Roman" w:cs="Times New Roman"/>
        </w:rPr>
        <w:tab/>
        <w:t xml:space="preserve">   L</w:t>
      </w:r>
      <w:r w:rsidRPr="00EE41EE">
        <w:rPr>
          <w:rFonts w:ascii="Times New Roman" w:hAnsi="Times New Roman" w:cs="Times New Roman"/>
          <w:vertAlign w:val="subscript"/>
        </w:rPr>
        <w:t>dvn</w:t>
      </w:r>
      <w:r w:rsidRPr="00EE41EE">
        <w:rPr>
          <w:rFonts w:ascii="Times New Roman" w:hAnsi="Times New Roman" w:cs="Times New Roman"/>
        </w:rPr>
        <w:t xml:space="preserve"> &gt; 45 dB, (&gt; 42 dB dle EEA) </w:t>
      </w:r>
    </w:p>
    <w:p w14:paraId="59CC580D" w14:textId="77777777" w:rsidR="00391D60" w:rsidRPr="00EE41EE" w:rsidRDefault="00391D60" w:rsidP="00391D60">
      <w:pPr>
        <w:pStyle w:val="Default"/>
        <w:ind w:left="2124" w:firstLine="708"/>
        <w:rPr>
          <w:rFonts w:ascii="Times New Roman" w:hAnsi="Times New Roman" w:cs="Times New Roman"/>
        </w:rPr>
      </w:pPr>
      <w:r w:rsidRPr="00EE41EE">
        <w:rPr>
          <w:rFonts w:ascii="Times New Roman" w:hAnsi="Times New Roman" w:cs="Times New Roman"/>
        </w:rPr>
        <w:t xml:space="preserve"> kardiovaskulární onemocnění: L</w:t>
      </w:r>
      <w:r w:rsidRPr="00EE41EE">
        <w:rPr>
          <w:rFonts w:ascii="Times New Roman" w:hAnsi="Times New Roman" w:cs="Times New Roman"/>
          <w:vertAlign w:val="subscript"/>
        </w:rPr>
        <w:t xml:space="preserve">Aeq,16h </w:t>
      </w:r>
      <w:r w:rsidRPr="00EE41EE">
        <w:rPr>
          <w:rFonts w:ascii="Times New Roman" w:hAnsi="Times New Roman" w:cs="Times New Roman"/>
        </w:rPr>
        <w:t>&gt; 60 dB, resp. L</w:t>
      </w:r>
      <w:r w:rsidRPr="00EE41EE">
        <w:rPr>
          <w:rFonts w:ascii="Times New Roman" w:hAnsi="Times New Roman" w:cs="Times New Roman"/>
          <w:vertAlign w:val="subscript"/>
        </w:rPr>
        <w:t>dvn</w:t>
      </w:r>
      <w:r w:rsidRPr="00EE41EE">
        <w:rPr>
          <w:rFonts w:ascii="Times New Roman" w:hAnsi="Times New Roman" w:cs="Times New Roman"/>
        </w:rPr>
        <w:t xml:space="preserve"> &gt;55 dB </w:t>
      </w:r>
    </w:p>
    <w:p w14:paraId="0F5AD400" w14:textId="77777777" w:rsidR="00391D60" w:rsidRPr="00EE41EE" w:rsidRDefault="00391D60" w:rsidP="00391D60">
      <w:pPr>
        <w:pStyle w:val="Default"/>
        <w:rPr>
          <w:rFonts w:ascii="Times New Roman" w:hAnsi="Times New Roman" w:cs="Times New Roman"/>
        </w:rPr>
      </w:pPr>
      <w:r w:rsidRPr="00EE41EE">
        <w:rPr>
          <w:rFonts w:ascii="Times New Roman" w:hAnsi="Times New Roman" w:cs="Times New Roman"/>
        </w:rPr>
        <w:t xml:space="preserve">Letecká doprava: </w:t>
      </w:r>
      <w:r w:rsidRPr="00EE41EE">
        <w:rPr>
          <w:rFonts w:ascii="Times New Roman" w:hAnsi="Times New Roman" w:cs="Times New Roman"/>
        </w:rPr>
        <w:tab/>
      </w:r>
      <w:r w:rsidRPr="00EE41EE">
        <w:rPr>
          <w:rFonts w:ascii="Times New Roman" w:hAnsi="Times New Roman" w:cs="Times New Roman"/>
        </w:rPr>
        <w:tab/>
        <w:t xml:space="preserve"> rušení spánku: </w:t>
      </w:r>
      <w:r w:rsidRPr="00EE41EE">
        <w:rPr>
          <w:rFonts w:ascii="Times New Roman" w:hAnsi="Times New Roman" w:cs="Times New Roman"/>
        </w:rPr>
        <w:tab/>
      </w:r>
      <w:r w:rsidRPr="00EE41EE">
        <w:rPr>
          <w:rFonts w:ascii="Times New Roman" w:hAnsi="Times New Roman" w:cs="Times New Roman"/>
        </w:rPr>
        <w:tab/>
        <w:t xml:space="preserve">   L</w:t>
      </w:r>
      <w:r w:rsidRPr="00EE41EE">
        <w:rPr>
          <w:rFonts w:ascii="Times New Roman" w:hAnsi="Times New Roman" w:cs="Times New Roman"/>
          <w:vertAlign w:val="subscript"/>
        </w:rPr>
        <w:t>n</w:t>
      </w:r>
      <w:r w:rsidRPr="00EE41EE">
        <w:rPr>
          <w:rFonts w:ascii="Times New Roman" w:hAnsi="Times New Roman" w:cs="Times New Roman"/>
        </w:rPr>
        <w:t xml:space="preserve"> &gt; 40 dB </w:t>
      </w:r>
    </w:p>
    <w:p w14:paraId="2A83BF58" w14:textId="77777777" w:rsidR="00391D60" w:rsidRPr="00EE41EE" w:rsidRDefault="00391D60" w:rsidP="00391D60">
      <w:pPr>
        <w:pStyle w:val="Default"/>
        <w:ind w:left="2124" w:firstLine="708"/>
        <w:rPr>
          <w:rFonts w:ascii="Times New Roman" w:hAnsi="Times New Roman" w:cs="Times New Roman"/>
        </w:rPr>
      </w:pPr>
      <w:r w:rsidRPr="00EE41EE">
        <w:rPr>
          <w:rFonts w:ascii="Times New Roman" w:hAnsi="Times New Roman" w:cs="Times New Roman"/>
        </w:rPr>
        <w:t xml:space="preserve"> obtěžování:  </w:t>
      </w:r>
      <w:r w:rsidRPr="00EE41EE">
        <w:rPr>
          <w:rFonts w:ascii="Times New Roman" w:hAnsi="Times New Roman" w:cs="Times New Roman"/>
        </w:rPr>
        <w:tab/>
      </w:r>
      <w:r w:rsidRPr="00EE41EE">
        <w:rPr>
          <w:rFonts w:ascii="Times New Roman" w:hAnsi="Times New Roman" w:cs="Times New Roman"/>
        </w:rPr>
        <w:tab/>
      </w:r>
      <w:r w:rsidRPr="00EE41EE">
        <w:rPr>
          <w:rFonts w:ascii="Times New Roman" w:hAnsi="Times New Roman" w:cs="Times New Roman"/>
        </w:rPr>
        <w:tab/>
        <w:t xml:space="preserve">   L</w:t>
      </w:r>
      <w:r w:rsidRPr="00EE41EE">
        <w:rPr>
          <w:rFonts w:ascii="Times New Roman" w:hAnsi="Times New Roman" w:cs="Times New Roman"/>
          <w:vertAlign w:val="subscript"/>
        </w:rPr>
        <w:t>dvn</w:t>
      </w:r>
      <w:r w:rsidRPr="00EE41EE">
        <w:rPr>
          <w:rFonts w:ascii="Times New Roman" w:hAnsi="Times New Roman" w:cs="Times New Roman"/>
        </w:rPr>
        <w:t xml:space="preserve"> &gt; 45 dB </w:t>
      </w:r>
    </w:p>
    <w:p w14:paraId="1B50676A" w14:textId="77777777" w:rsidR="00391D60" w:rsidRPr="00EE41EE" w:rsidRDefault="00391D60" w:rsidP="00391D60">
      <w:pPr>
        <w:pStyle w:val="Default"/>
        <w:ind w:left="2124" w:firstLine="708"/>
        <w:rPr>
          <w:rFonts w:ascii="Times New Roman" w:hAnsi="Times New Roman" w:cs="Times New Roman"/>
        </w:rPr>
      </w:pPr>
      <w:r w:rsidRPr="00EE41EE">
        <w:rPr>
          <w:rFonts w:ascii="Times New Roman" w:hAnsi="Times New Roman" w:cs="Times New Roman"/>
        </w:rPr>
        <w:t xml:space="preserve"> kardiovaskulární onemocnění: L</w:t>
      </w:r>
      <w:r w:rsidRPr="00EE41EE">
        <w:rPr>
          <w:rFonts w:ascii="Times New Roman" w:hAnsi="Times New Roman" w:cs="Times New Roman"/>
          <w:vertAlign w:val="subscript"/>
        </w:rPr>
        <w:t xml:space="preserve">Aeq,16h </w:t>
      </w:r>
      <w:r w:rsidRPr="00EE41EE">
        <w:rPr>
          <w:rFonts w:ascii="Times New Roman" w:hAnsi="Times New Roman" w:cs="Times New Roman"/>
        </w:rPr>
        <w:t>&gt; 60 dB, resp. L</w:t>
      </w:r>
      <w:r w:rsidRPr="00EE41EE">
        <w:rPr>
          <w:rFonts w:ascii="Times New Roman" w:hAnsi="Times New Roman" w:cs="Times New Roman"/>
          <w:vertAlign w:val="subscript"/>
        </w:rPr>
        <w:t>dvn</w:t>
      </w:r>
      <w:r w:rsidRPr="00EE41EE">
        <w:rPr>
          <w:rFonts w:ascii="Times New Roman" w:hAnsi="Times New Roman" w:cs="Times New Roman"/>
        </w:rPr>
        <w:t xml:space="preserve"> &gt;55 dB</w:t>
      </w:r>
    </w:p>
    <w:p w14:paraId="769C1C2E" w14:textId="77777777" w:rsidR="00391D60" w:rsidRPr="00EE41EE" w:rsidRDefault="00391D60" w:rsidP="00391D60">
      <w:pPr>
        <w:pStyle w:val="Default"/>
        <w:rPr>
          <w:rFonts w:ascii="Times New Roman" w:hAnsi="Times New Roman" w:cs="Times New Roman"/>
        </w:rPr>
      </w:pPr>
      <w:r w:rsidRPr="00EE41EE">
        <w:rPr>
          <w:rFonts w:ascii="Times New Roman" w:hAnsi="Times New Roman" w:cs="Times New Roman"/>
        </w:rPr>
        <w:lastRenderedPageBreak/>
        <w:t xml:space="preserve">Stacionární zdroje hluku: </w:t>
      </w:r>
      <w:r w:rsidRPr="00EE41EE">
        <w:rPr>
          <w:rFonts w:ascii="Times New Roman" w:hAnsi="Times New Roman" w:cs="Times New Roman"/>
        </w:rPr>
        <w:tab/>
        <w:t xml:space="preserve"> rušení spánku: </w:t>
      </w:r>
      <w:r w:rsidRPr="00EE41EE">
        <w:rPr>
          <w:rFonts w:ascii="Times New Roman" w:hAnsi="Times New Roman" w:cs="Times New Roman"/>
        </w:rPr>
        <w:tab/>
      </w:r>
      <w:r w:rsidRPr="00EE41EE">
        <w:rPr>
          <w:rFonts w:ascii="Times New Roman" w:hAnsi="Times New Roman" w:cs="Times New Roman"/>
        </w:rPr>
        <w:tab/>
        <w:t xml:space="preserve">   není definováno </w:t>
      </w:r>
    </w:p>
    <w:p w14:paraId="5DF20646" w14:textId="77777777" w:rsidR="00391D60" w:rsidRPr="00EE41EE" w:rsidRDefault="00391D60" w:rsidP="00391D60">
      <w:pPr>
        <w:pStyle w:val="Default"/>
        <w:ind w:left="2124" w:firstLine="708"/>
        <w:jc w:val="both"/>
        <w:rPr>
          <w:rFonts w:ascii="Times New Roman" w:eastAsia="TimesNewRoman" w:hAnsi="Times New Roman" w:cs="Times New Roman"/>
        </w:rPr>
      </w:pPr>
      <w:r w:rsidRPr="00EE41EE">
        <w:rPr>
          <w:rFonts w:ascii="Times New Roman" w:hAnsi="Times New Roman" w:cs="Times New Roman"/>
        </w:rPr>
        <w:t xml:space="preserve"> obtěžování: </w:t>
      </w:r>
      <w:r w:rsidRPr="00EE41EE">
        <w:rPr>
          <w:rFonts w:ascii="Times New Roman" w:hAnsi="Times New Roman" w:cs="Times New Roman"/>
        </w:rPr>
        <w:tab/>
      </w:r>
      <w:r w:rsidRPr="00EE41EE">
        <w:rPr>
          <w:rFonts w:ascii="Times New Roman" w:hAnsi="Times New Roman" w:cs="Times New Roman"/>
        </w:rPr>
        <w:tab/>
      </w:r>
      <w:r w:rsidRPr="00EE41EE">
        <w:rPr>
          <w:rFonts w:ascii="Times New Roman" w:hAnsi="Times New Roman" w:cs="Times New Roman"/>
        </w:rPr>
        <w:tab/>
        <w:t xml:space="preserve">   L</w:t>
      </w:r>
      <w:r w:rsidRPr="00EE41EE">
        <w:rPr>
          <w:rFonts w:ascii="Times New Roman" w:hAnsi="Times New Roman" w:cs="Times New Roman"/>
          <w:vertAlign w:val="subscript"/>
        </w:rPr>
        <w:t>dvn</w:t>
      </w:r>
      <w:r w:rsidRPr="00EE41EE">
        <w:rPr>
          <w:rFonts w:ascii="Times New Roman" w:hAnsi="Times New Roman" w:cs="Times New Roman"/>
        </w:rPr>
        <w:t xml:space="preserve"> &gt; 35 dB</w:t>
      </w:r>
    </w:p>
    <w:p w14:paraId="489A0F7A" w14:textId="77777777" w:rsidR="00832C35" w:rsidRDefault="00832C35" w:rsidP="00832C35">
      <w:pPr>
        <w:jc w:val="both"/>
      </w:pPr>
    </w:p>
    <w:p w14:paraId="0429F98B" w14:textId="6E19405F" w:rsidR="00FB2DD2" w:rsidRPr="00914C9A" w:rsidRDefault="00FB2DD2" w:rsidP="00FB2DD2">
      <w:pPr>
        <w:pStyle w:val="Default"/>
        <w:jc w:val="both"/>
        <w:rPr>
          <w:rFonts w:ascii="Times New Roman" w:eastAsia="TimesNewRoman" w:hAnsi="Times New Roman" w:cs="Times New Roman"/>
        </w:rPr>
      </w:pPr>
      <w:r w:rsidRPr="00914C9A">
        <w:rPr>
          <w:rFonts w:ascii="Times New Roman" w:eastAsia="TimesNewRoman" w:hAnsi="Times New Roman" w:cs="Times New Roman"/>
        </w:rPr>
        <w:t xml:space="preserve">Pro kvantitativní hodnocení rizika </w:t>
      </w:r>
      <w:r w:rsidRPr="00914C9A">
        <w:rPr>
          <w:rFonts w:ascii="Times New Roman" w:eastAsia="TimesNewRoman" w:hAnsi="Times New Roman" w:cs="Times New Roman"/>
          <w:b/>
        </w:rPr>
        <w:t>hluku z průmyslových stacionárních zdrojů</w:t>
      </w:r>
      <w:r w:rsidRPr="00914C9A">
        <w:rPr>
          <w:rFonts w:ascii="Times New Roman" w:eastAsia="TimesNewRoman" w:hAnsi="Times New Roman" w:cs="Times New Roman"/>
        </w:rPr>
        <w:t xml:space="preserve"> nejsou v současné době k dispozici spolehlivé vztahy expozice a účinku. K orientačnímu vyhodnocení je pouze možné využít vztahů publikovaných v roce 2004 na základě několika studii obtěžování obyvatel v okolí průmyslových provozů v Holandsku [Miedema, HME, Vos H: Noise annoyance from stationary sources]. </w:t>
      </w:r>
      <w:r w:rsidR="00B60361">
        <w:rPr>
          <w:rFonts w:ascii="Times New Roman" w:eastAsia="TimesNewRoman" w:hAnsi="Times New Roman" w:cs="Times New Roman"/>
        </w:rPr>
        <w:t>Použité vztah</w:t>
      </w:r>
      <w:r w:rsidR="005C35C3">
        <w:rPr>
          <w:rFonts w:ascii="Times New Roman" w:eastAsia="TimesNewRoman" w:hAnsi="Times New Roman" w:cs="Times New Roman"/>
        </w:rPr>
        <w:t>y</w:t>
      </w:r>
      <w:r w:rsidR="00B60361">
        <w:rPr>
          <w:rFonts w:ascii="Times New Roman" w:eastAsia="TimesNewRoman" w:hAnsi="Times New Roman" w:cs="Times New Roman"/>
        </w:rPr>
        <w:t xml:space="preserve"> v</w:t>
      </w:r>
      <w:r w:rsidRPr="00914C9A">
        <w:rPr>
          <w:rFonts w:ascii="Times New Roman" w:eastAsia="TimesNewRoman" w:hAnsi="Times New Roman" w:cs="Times New Roman"/>
        </w:rPr>
        <w:t>ycházejí z</w:t>
      </w:r>
      <w:r w:rsidR="005C35C3">
        <w:rPr>
          <w:rFonts w:ascii="Times New Roman" w:eastAsia="TimesNewRoman" w:hAnsi="Times New Roman" w:cs="Times New Roman"/>
        </w:rPr>
        <w:t> </w:t>
      </w:r>
      <w:r w:rsidRPr="00914C9A">
        <w:rPr>
          <w:rFonts w:ascii="Times New Roman" w:eastAsia="TimesNewRoman" w:hAnsi="Times New Roman" w:cs="Times New Roman"/>
        </w:rPr>
        <w:t>24</w:t>
      </w:r>
      <w:r w:rsidR="005C35C3">
        <w:rPr>
          <w:rFonts w:ascii="Times New Roman" w:eastAsia="TimesNewRoman" w:hAnsi="Times New Roman" w:cs="Times New Roman"/>
        </w:rPr>
        <w:t xml:space="preserve"> </w:t>
      </w:r>
      <w:r w:rsidRPr="00914C9A">
        <w:rPr>
          <w:rFonts w:ascii="Times New Roman" w:eastAsia="TimesNewRoman" w:hAnsi="Times New Roman" w:cs="Times New Roman"/>
        </w:rPr>
        <w:t>hodinové hlukové expozice vyjádřené v L</w:t>
      </w:r>
      <w:r w:rsidRPr="00914C9A">
        <w:rPr>
          <w:rFonts w:ascii="Times New Roman" w:eastAsia="TimesNewRoman" w:hAnsi="Times New Roman" w:cs="Times New Roman"/>
          <w:vertAlign w:val="subscript"/>
        </w:rPr>
        <w:t>dvn</w:t>
      </w:r>
      <w:r w:rsidRPr="00914C9A">
        <w:rPr>
          <w:rFonts w:ascii="Times New Roman" w:eastAsia="TimesNewRoman" w:hAnsi="Times New Roman" w:cs="Times New Roman"/>
        </w:rPr>
        <w:t xml:space="preserve"> a jsou odvozeny pro rozmezí hlukové expozice 35 – 65 dB.</w:t>
      </w:r>
    </w:p>
    <w:p w14:paraId="5B45CE09" w14:textId="77777777" w:rsidR="00F273F7" w:rsidRDefault="00F273F7" w:rsidP="00AD6A82">
      <w:pPr>
        <w:pStyle w:val="Normlnprvn"/>
        <w:spacing w:after="120"/>
        <w:jc w:val="both"/>
        <w:rPr>
          <w:b/>
        </w:rPr>
      </w:pPr>
    </w:p>
    <w:p w14:paraId="5A90AD92" w14:textId="1BBC831B" w:rsidR="00AD6A82" w:rsidRPr="003E242D" w:rsidRDefault="00AD6A82" w:rsidP="00AD6A82">
      <w:pPr>
        <w:pStyle w:val="Normlnprvn"/>
        <w:spacing w:after="120"/>
        <w:jc w:val="both"/>
        <w:rPr>
          <w:b/>
        </w:rPr>
      </w:pPr>
      <w:r w:rsidRPr="003E242D">
        <w:rPr>
          <w:b/>
        </w:rPr>
        <w:t xml:space="preserve">Tabulka </w:t>
      </w:r>
      <w:r w:rsidR="002E29EB">
        <w:rPr>
          <w:b/>
        </w:rPr>
        <w:t>10</w:t>
      </w:r>
      <w:r w:rsidRPr="003E242D">
        <w:rPr>
          <w:b/>
        </w:rPr>
        <w:t xml:space="preserve">: </w:t>
      </w:r>
      <w:r w:rsidRPr="00C1292E">
        <w:rPr>
          <w:b/>
        </w:rPr>
        <w:t xml:space="preserve">Odhad </w:t>
      </w:r>
      <w:r>
        <w:rPr>
          <w:b/>
        </w:rPr>
        <w:t>procent</w:t>
      </w:r>
      <w:r w:rsidRPr="00C1292E">
        <w:rPr>
          <w:b/>
        </w:rPr>
        <w:t xml:space="preserve"> osob obtěžovaných </w:t>
      </w:r>
      <w:r w:rsidR="00B60361">
        <w:rPr>
          <w:b/>
        </w:rPr>
        <w:t xml:space="preserve">hlukem z provozu </w:t>
      </w:r>
    </w:p>
    <w:tbl>
      <w:tblPr>
        <w:tblStyle w:val="Mkatabulky"/>
        <w:tblW w:w="9067" w:type="dxa"/>
        <w:tblLayout w:type="fixed"/>
        <w:tblLook w:val="04A0" w:firstRow="1" w:lastRow="0" w:firstColumn="1" w:lastColumn="0" w:noHBand="0" w:noVBand="1"/>
      </w:tblPr>
      <w:tblGrid>
        <w:gridCol w:w="4248"/>
        <w:gridCol w:w="1134"/>
        <w:gridCol w:w="1417"/>
        <w:gridCol w:w="1134"/>
        <w:gridCol w:w="1134"/>
      </w:tblGrid>
      <w:tr w:rsidR="00AB7EBF" w14:paraId="7770F1AF" w14:textId="77777777" w:rsidTr="000368D6">
        <w:tc>
          <w:tcPr>
            <w:tcW w:w="4248" w:type="dxa"/>
            <w:vMerge w:val="restart"/>
            <w:vAlign w:val="center"/>
          </w:tcPr>
          <w:p w14:paraId="7B5FA782" w14:textId="77777777" w:rsidR="00AB7EBF" w:rsidRPr="0078035F" w:rsidRDefault="00AB7EBF" w:rsidP="00577965">
            <w:pPr>
              <w:pStyle w:val="Normlnprvn"/>
              <w:jc w:val="center"/>
              <w:rPr>
                <w:szCs w:val="24"/>
              </w:rPr>
            </w:pPr>
            <w:r w:rsidRPr="0078035F">
              <w:rPr>
                <w:szCs w:val="24"/>
              </w:rPr>
              <w:t>místo</w:t>
            </w:r>
          </w:p>
        </w:tc>
        <w:tc>
          <w:tcPr>
            <w:tcW w:w="1134" w:type="dxa"/>
            <w:vMerge w:val="restart"/>
            <w:vAlign w:val="center"/>
          </w:tcPr>
          <w:p w14:paraId="59FC24E3" w14:textId="5965AE4F" w:rsidR="00AB7EBF" w:rsidRPr="005C2D1E" w:rsidRDefault="00AB7EBF" w:rsidP="005C2D1E">
            <w:pPr>
              <w:pStyle w:val="Normlnprvn"/>
              <w:jc w:val="center"/>
              <w:rPr>
                <w:szCs w:val="24"/>
              </w:rPr>
            </w:pPr>
            <w:r w:rsidRPr="0078035F">
              <w:rPr>
                <w:szCs w:val="24"/>
              </w:rPr>
              <w:t>L</w:t>
            </w:r>
            <w:r w:rsidRPr="0078035F">
              <w:rPr>
                <w:szCs w:val="24"/>
                <w:vertAlign w:val="subscript"/>
              </w:rPr>
              <w:t>d</w:t>
            </w:r>
            <w:r>
              <w:rPr>
                <w:szCs w:val="24"/>
                <w:vertAlign w:val="subscript"/>
              </w:rPr>
              <w:t>v</w:t>
            </w:r>
            <w:r w:rsidRPr="0078035F">
              <w:rPr>
                <w:szCs w:val="24"/>
                <w:vertAlign w:val="subscript"/>
              </w:rPr>
              <w:t>n</w:t>
            </w:r>
            <w:r>
              <w:rPr>
                <w:szCs w:val="24"/>
                <w:vertAlign w:val="subscript"/>
              </w:rPr>
              <w:t xml:space="preserve"> </w:t>
            </w:r>
            <w:r w:rsidRPr="005C2D1E">
              <w:rPr>
                <w:szCs w:val="24"/>
              </w:rPr>
              <w:t>/dB/</w:t>
            </w:r>
          </w:p>
        </w:tc>
        <w:tc>
          <w:tcPr>
            <w:tcW w:w="3685" w:type="dxa"/>
            <w:gridSpan w:val="3"/>
            <w:vAlign w:val="center"/>
          </w:tcPr>
          <w:p w14:paraId="391FFC1F" w14:textId="77777777" w:rsidR="00AB7EBF" w:rsidRPr="00D22D27" w:rsidRDefault="00AB7EBF" w:rsidP="005C2D1E">
            <w:pPr>
              <w:pStyle w:val="Normlnprvn"/>
              <w:jc w:val="center"/>
              <w:rPr>
                <w:rFonts w:asciiTheme="minorHAnsi" w:hAnsiTheme="minorHAnsi"/>
                <w:b/>
                <w:sz w:val="22"/>
                <w:szCs w:val="22"/>
              </w:rPr>
            </w:pPr>
            <w:r w:rsidRPr="00D22D27">
              <w:rPr>
                <w:rFonts w:asciiTheme="minorHAnsi" w:hAnsiTheme="minorHAnsi"/>
                <w:b/>
                <w:sz w:val="22"/>
                <w:szCs w:val="22"/>
              </w:rPr>
              <w:t>Obtěžování hlukem</w:t>
            </w:r>
          </w:p>
        </w:tc>
      </w:tr>
      <w:tr w:rsidR="00AB7EBF" w14:paraId="56A1AF04" w14:textId="77777777" w:rsidTr="000368D6">
        <w:trPr>
          <w:trHeight w:val="498"/>
        </w:trPr>
        <w:tc>
          <w:tcPr>
            <w:tcW w:w="4248" w:type="dxa"/>
            <w:vMerge/>
            <w:vAlign w:val="center"/>
          </w:tcPr>
          <w:p w14:paraId="42F4B7B8" w14:textId="77777777" w:rsidR="00AB7EBF" w:rsidRDefault="00AB7EBF" w:rsidP="00577965">
            <w:pPr>
              <w:pStyle w:val="Normlnprvn"/>
              <w:jc w:val="center"/>
            </w:pPr>
          </w:p>
        </w:tc>
        <w:tc>
          <w:tcPr>
            <w:tcW w:w="1134" w:type="dxa"/>
            <w:vMerge/>
          </w:tcPr>
          <w:p w14:paraId="3E6ABE44" w14:textId="77777777" w:rsidR="00AB7EBF" w:rsidRDefault="00AB7EBF" w:rsidP="00577965">
            <w:pPr>
              <w:pStyle w:val="Normlnprvn"/>
              <w:jc w:val="both"/>
            </w:pPr>
          </w:p>
        </w:tc>
        <w:tc>
          <w:tcPr>
            <w:tcW w:w="1417" w:type="dxa"/>
            <w:vAlign w:val="center"/>
          </w:tcPr>
          <w:p w14:paraId="2012030F" w14:textId="77777777" w:rsidR="00AB7EBF" w:rsidRPr="00D22D27" w:rsidRDefault="00AB7EBF" w:rsidP="00577965">
            <w:pPr>
              <w:pStyle w:val="Normlnprvn"/>
              <w:spacing w:before="0"/>
              <w:jc w:val="center"/>
              <w:rPr>
                <w:szCs w:val="24"/>
              </w:rPr>
            </w:pPr>
            <w:r>
              <w:rPr>
                <w:b/>
                <w:bCs/>
                <w:color w:val="000000"/>
                <w:szCs w:val="24"/>
              </w:rPr>
              <w:t>%</w:t>
            </w:r>
            <w:r w:rsidRPr="00D22D27">
              <w:rPr>
                <w:b/>
                <w:bCs/>
                <w:color w:val="000000"/>
                <w:szCs w:val="24"/>
              </w:rPr>
              <w:t>LA</w:t>
            </w:r>
          </w:p>
        </w:tc>
        <w:tc>
          <w:tcPr>
            <w:tcW w:w="1134" w:type="dxa"/>
            <w:vAlign w:val="center"/>
          </w:tcPr>
          <w:p w14:paraId="6E0C0D72" w14:textId="77777777" w:rsidR="00AB7EBF" w:rsidRPr="00D22D27" w:rsidRDefault="00AB7EBF" w:rsidP="00577965">
            <w:pPr>
              <w:pStyle w:val="Normlnprvn"/>
              <w:spacing w:before="0"/>
              <w:jc w:val="center"/>
              <w:rPr>
                <w:szCs w:val="24"/>
              </w:rPr>
            </w:pPr>
            <w:r>
              <w:rPr>
                <w:b/>
                <w:bCs/>
                <w:color w:val="000000"/>
                <w:szCs w:val="24"/>
              </w:rPr>
              <w:t>%</w:t>
            </w:r>
            <w:r w:rsidRPr="00D22D27">
              <w:rPr>
                <w:b/>
                <w:bCs/>
                <w:color w:val="000000"/>
                <w:szCs w:val="24"/>
              </w:rPr>
              <w:t>A</w:t>
            </w:r>
          </w:p>
        </w:tc>
        <w:tc>
          <w:tcPr>
            <w:tcW w:w="1134" w:type="dxa"/>
            <w:vAlign w:val="center"/>
          </w:tcPr>
          <w:p w14:paraId="5F6CB4B1" w14:textId="77777777" w:rsidR="00AB7EBF" w:rsidRPr="00D22D27" w:rsidRDefault="00AB7EBF" w:rsidP="00577965">
            <w:pPr>
              <w:pStyle w:val="Normlnprvn"/>
              <w:spacing w:before="0"/>
              <w:jc w:val="center"/>
              <w:rPr>
                <w:szCs w:val="24"/>
              </w:rPr>
            </w:pPr>
            <w:r>
              <w:rPr>
                <w:b/>
                <w:bCs/>
                <w:color w:val="000000"/>
                <w:szCs w:val="24"/>
              </w:rPr>
              <w:t>%</w:t>
            </w:r>
            <w:r w:rsidRPr="00D22D27">
              <w:rPr>
                <w:b/>
                <w:bCs/>
                <w:color w:val="000000"/>
                <w:szCs w:val="24"/>
              </w:rPr>
              <w:t>HA</w:t>
            </w:r>
          </w:p>
        </w:tc>
      </w:tr>
      <w:tr w:rsidR="00AB7EBF" w14:paraId="5B363641" w14:textId="77777777" w:rsidTr="000368D6">
        <w:tc>
          <w:tcPr>
            <w:tcW w:w="4248" w:type="dxa"/>
            <w:vAlign w:val="center"/>
          </w:tcPr>
          <w:p w14:paraId="13C42324" w14:textId="3631F2F5" w:rsidR="00AB7EBF" w:rsidRDefault="000368D6" w:rsidP="000368D6">
            <w:pPr>
              <w:pStyle w:val="Normlnprvn"/>
              <w:spacing w:before="0"/>
              <w:jc w:val="center"/>
            </w:pPr>
            <w:r>
              <w:rPr>
                <w:rFonts w:cs="Tahoma"/>
                <w:szCs w:val="24"/>
              </w:rPr>
              <w:t>Častolovice</w:t>
            </w:r>
            <w:r>
              <w:rPr>
                <w:szCs w:val="24"/>
              </w:rPr>
              <w:t xml:space="preserve"> čp. 168, Masarykova ulice</w:t>
            </w:r>
          </w:p>
        </w:tc>
        <w:tc>
          <w:tcPr>
            <w:tcW w:w="1134" w:type="dxa"/>
            <w:shd w:val="clear" w:color="auto" w:fill="auto"/>
            <w:vAlign w:val="center"/>
          </w:tcPr>
          <w:p w14:paraId="143D1CAB" w14:textId="3DCBC2B8" w:rsidR="00AB7EBF" w:rsidRPr="0078035F" w:rsidRDefault="00AB7EBF" w:rsidP="00577965">
            <w:pPr>
              <w:pStyle w:val="Normlnprvn"/>
              <w:spacing w:before="0"/>
              <w:jc w:val="center"/>
              <w:rPr>
                <w:szCs w:val="24"/>
              </w:rPr>
            </w:pPr>
            <w:r>
              <w:rPr>
                <w:szCs w:val="24"/>
              </w:rPr>
              <w:t>47,63</w:t>
            </w:r>
          </w:p>
        </w:tc>
        <w:tc>
          <w:tcPr>
            <w:tcW w:w="1417" w:type="dxa"/>
            <w:shd w:val="clear" w:color="auto" w:fill="auto"/>
            <w:vAlign w:val="center"/>
          </w:tcPr>
          <w:p w14:paraId="07819122" w14:textId="5A24836A" w:rsidR="00AB7EBF" w:rsidRPr="00D22D27" w:rsidRDefault="00AB7EBF" w:rsidP="00577965">
            <w:pPr>
              <w:pStyle w:val="Normlnprvn"/>
              <w:spacing w:before="0"/>
              <w:jc w:val="center"/>
              <w:rPr>
                <w:szCs w:val="24"/>
              </w:rPr>
            </w:pPr>
            <w:r>
              <w:rPr>
                <w:szCs w:val="24"/>
              </w:rPr>
              <w:t>21</w:t>
            </w:r>
          </w:p>
        </w:tc>
        <w:tc>
          <w:tcPr>
            <w:tcW w:w="1134" w:type="dxa"/>
            <w:shd w:val="clear" w:color="auto" w:fill="auto"/>
            <w:vAlign w:val="center"/>
          </w:tcPr>
          <w:p w14:paraId="10A983FF" w14:textId="3CB73650" w:rsidR="00AB7EBF" w:rsidRPr="00D22D27" w:rsidRDefault="00AB7EBF" w:rsidP="00577965">
            <w:pPr>
              <w:pStyle w:val="Normlnprvn"/>
              <w:spacing w:before="0"/>
              <w:jc w:val="center"/>
              <w:rPr>
                <w:szCs w:val="24"/>
              </w:rPr>
            </w:pPr>
            <w:r>
              <w:rPr>
                <w:szCs w:val="24"/>
              </w:rPr>
              <w:t>10</w:t>
            </w:r>
          </w:p>
        </w:tc>
        <w:tc>
          <w:tcPr>
            <w:tcW w:w="1134" w:type="dxa"/>
            <w:shd w:val="clear" w:color="auto" w:fill="auto"/>
            <w:vAlign w:val="center"/>
          </w:tcPr>
          <w:p w14:paraId="52397B6B" w14:textId="604D9FD6" w:rsidR="00AB7EBF" w:rsidRPr="00A86D34" w:rsidRDefault="00AB7EBF" w:rsidP="00577965">
            <w:pPr>
              <w:pStyle w:val="Normlnprvn"/>
              <w:spacing w:before="0"/>
              <w:jc w:val="center"/>
              <w:rPr>
                <w:b/>
                <w:color w:val="FF0000"/>
                <w:szCs w:val="24"/>
              </w:rPr>
            </w:pPr>
            <w:r>
              <w:rPr>
                <w:b/>
                <w:color w:val="FF0000"/>
                <w:szCs w:val="24"/>
              </w:rPr>
              <w:t>4</w:t>
            </w:r>
          </w:p>
        </w:tc>
      </w:tr>
      <w:tr w:rsidR="00AB7EBF" w14:paraId="69041CC3" w14:textId="77777777" w:rsidTr="000368D6">
        <w:tc>
          <w:tcPr>
            <w:tcW w:w="4248" w:type="dxa"/>
            <w:vAlign w:val="center"/>
          </w:tcPr>
          <w:p w14:paraId="469042B9" w14:textId="2E5C6E1C" w:rsidR="00AB7EBF" w:rsidRDefault="000368D6" w:rsidP="000368D6">
            <w:pPr>
              <w:pStyle w:val="Normlnprvn"/>
              <w:spacing w:before="0"/>
              <w:jc w:val="center"/>
            </w:pPr>
            <w:r>
              <w:rPr>
                <w:rFonts w:cs="Tahoma"/>
                <w:szCs w:val="24"/>
              </w:rPr>
              <w:t>Častolovice</w:t>
            </w:r>
            <w:r>
              <w:rPr>
                <w:szCs w:val="24"/>
              </w:rPr>
              <w:t xml:space="preserve"> čp. 379, Zahradní ulice</w:t>
            </w:r>
          </w:p>
        </w:tc>
        <w:tc>
          <w:tcPr>
            <w:tcW w:w="1134" w:type="dxa"/>
            <w:shd w:val="clear" w:color="auto" w:fill="auto"/>
            <w:vAlign w:val="center"/>
          </w:tcPr>
          <w:p w14:paraId="24BB759C" w14:textId="4CF9D6DF" w:rsidR="00AB7EBF" w:rsidRDefault="00AB7EBF" w:rsidP="00B60361">
            <w:pPr>
              <w:pStyle w:val="Normlnprvn"/>
              <w:spacing w:before="0"/>
              <w:jc w:val="center"/>
            </w:pPr>
            <w:r>
              <w:t>48,06</w:t>
            </w:r>
          </w:p>
        </w:tc>
        <w:tc>
          <w:tcPr>
            <w:tcW w:w="1417" w:type="dxa"/>
            <w:shd w:val="clear" w:color="auto" w:fill="auto"/>
            <w:vAlign w:val="center"/>
          </w:tcPr>
          <w:p w14:paraId="469BB418" w14:textId="45D261F5" w:rsidR="00AB7EBF" w:rsidRPr="00D22D27" w:rsidRDefault="00AB7EBF" w:rsidP="00B60361">
            <w:pPr>
              <w:pStyle w:val="Normlnprvn"/>
              <w:spacing w:before="0"/>
              <w:jc w:val="center"/>
              <w:rPr>
                <w:szCs w:val="24"/>
              </w:rPr>
            </w:pPr>
            <w:r>
              <w:rPr>
                <w:szCs w:val="24"/>
              </w:rPr>
              <w:t>22</w:t>
            </w:r>
          </w:p>
        </w:tc>
        <w:tc>
          <w:tcPr>
            <w:tcW w:w="1134" w:type="dxa"/>
            <w:shd w:val="clear" w:color="auto" w:fill="auto"/>
            <w:vAlign w:val="center"/>
          </w:tcPr>
          <w:p w14:paraId="5E58CF10" w14:textId="5BAB7127" w:rsidR="00AB7EBF" w:rsidRPr="00D22D27" w:rsidRDefault="00AB7EBF" w:rsidP="00B60361">
            <w:pPr>
              <w:pStyle w:val="Normlnprvn"/>
              <w:spacing w:before="0"/>
              <w:jc w:val="center"/>
              <w:rPr>
                <w:szCs w:val="24"/>
              </w:rPr>
            </w:pPr>
            <w:r>
              <w:rPr>
                <w:szCs w:val="24"/>
              </w:rPr>
              <w:t>10</w:t>
            </w:r>
          </w:p>
        </w:tc>
        <w:tc>
          <w:tcPr>
            <w:tcW w:w="1134" w:type="dxa"/>
            <w:shd w:val="clear" w:color="auto" w:fill="auto"/>
            <w:vAlign w:val="center"/>
          </w:tcPr>
          <w:p w14:paraId="100C8A8F" w14:textId="1CF9C18A" w:rsidR="00AB7EBF" w:rsidRPr="00A86D34" w:rsidRDefault="00AB7EBF" w:rsidP="00B60361">
            <w:pPr>
              <w:pStyle w:val="Normlnprvn"/>
              <w:spacing w:before="0"/>
              <w:jc w:val="center"/>
              <w:rPr>
                <w:b/>
                <w:color w:val="FF0000"/>
                <w:szCs w:val="24"/>
              </w:rPr>
            </w:pPr>
            <w:r>
              <w:rPr>
                <w:b/>
                <w:color w:val="FF0000"/>
                <w:szCs w:val="24"/>
              </w:rPr>
              <w:t>4</w:t>
            </w:r>
          </w:p>
        </w:tc>
      </w:tr>
      <w:tr w:rsidR="00AB7EBF" w14:paraId="7E0AD8C5" w14:textId="77777777" w:rsidTr="000368D6">
        <w:tc>
          <w:tcPr>
            <w:tcW w:w="4248" w:type="dxa"/>
            <w:vAlign w:val="center"/>
          </w:tcPr>
          <w:p w14:paraId="41F38430" w14:textId="641C3741" w:rsidR="00AB7EBF" w:rsidRDefault="000368D6" w:rsidP="000368D6">
            <w:pPr>
              <w:pStyle w:val="Normlnprvn"/>
              <w:spacing w:before="0"/>
              <w:jc w:val="center"/>
            </w:pPr>
            <w:r>
              <w:rPr>
                <w:rFonts w:cs="Tahoma"/>
                <w:szCs w:val="24"/>
              </w:rPr>
              <w:t xml:space="preserve">Častolovice čp. 206, Masarykova ulice </w:t>
            </w:r>
          </w:p>
        </w:tc>
        <w:tc>
          <w:tcPr>
            <w:tcW w:w="1134" w:type="dxa"/>
            <w:shd w:val="clear" w:color="auto" w:fill="auto"/>
            <w:vAlign w:val="center"/>
          </w:tcPr>
          <w:p w14:paraId="74B13A9B" w14:textId="27B51489" w:rsidR="00AB7EBF" w:rsidRDefault="00AB7EBF" w:rsidP="00B60361">
            <w:pPr>
              <w:pStyle w:val="Normlnprvn"/>
              <w:spacing w:before="0"/>
              <w:jc w:val="center"/>
            </w:pPr>
            <w:r>
              <w:t>51,73</w:t>
            </w:r>
          </w:p>
        </w:tc>
        <w:tc>
          <w:tcPr>
            <w:tcW w:w="1417" w:type="dxa"/>
            <w:shd w:val="clear" w:color="auto" w:fill="auto"/>
            <w:vAlign w:val="center"/>
          </w:tcPr>
          <w:p w14:paraId="4E22337C" w14:textId="3304D5C9" w:rsidR="00AB7EBF" w:rsidRDefault="00AB7EBF" w:rsidP="00B60361">
            <w:pPr>
              <w:pStyle w:val="Normlnprvn"/>
              <w:spacing w:before="0"/>
              <w:jc w:val="center"/>
              <w:rPr>
                <w:szCs w:val="24"/>
              </w:rPr>
            </w:pPr>
            <w:r>
              <w:rPr>
                <w:szCs w:val="24"/>
              </w:rPr>
              <w:t>28</w:t>
            </w:r>
          </w:p>
        </w:tc>
        <w:tc>
          <w:tcPr>
            <w:tcW w:w="1134" w:type="dxa"/>
            <w:shd w:val="clear" w:color="auto" w:fill="auto"/>
            <w:vAlign w:val="center"/>
          </w:tcPr>
          <w:p w14:paraId="111DFA89" w14:textId="5B20DA0E" w:rsidR="00AB7EBF" w:rsidRDefault="00AB7EBF" w:rsidP="00B60361">
            <w:pPr>
              <w:pStyle w:val="Normlnprvn"/>
              <w:spacing w:before="0"/>
              <w:jc w:val="center"/>
              <w:rPr>
                <w:szCs w:val="24"/>
              </w:rPr>
            </w:pPr>
            <w:r>
              <w:rPr>
                <w:szCs w:val="24"/>
              </w:rPr>
              <w:t>15</w:t>
            </w:r>
          </w:p>
        </w:tc>
        <w:tc>
          <w:tcPr>
            <w:tcW w:w="1134" w:type="dxa"/>
            <w:shd w:val="clear" w:color="auto" w:fill="auto"/>
            <w:vAlign w:val="center"/>
          </w:tcPr>
          <w:p w14:paraId="46210F1E" w14:textId="34829B15" w:rsidR="00AB7EBF" w:rsidRDefault="00AB7EBF" w:rsidP="00B60361">
            <w:pPr>
              <w:pStyle w:val="Normlnprvn"/>
              <w:spacing w:before="0"/>
              <w:jc w:val="center"/>
              <w:rPr>
                <w:b/>
                <w:color w:val="FF0000"/>
                <w:szCs w:val="24"/>
              </w:rPr>
            </w:pPr>
            <w:r>
              <w:rPr>
                <w:b/>
                <w:color w:val="FF0000"/>
                <w:szCs w:val="24"/>
              </w:rPr>
              <w:t>6</w:t>
            </w:r>
          </w:p>
        </w:tc>
      </w:tr>
      <w:tr w:rsidR="00AB7EBF" w14:paraId="1C791661" w14:textId="77777777" w:rsidTr="000368D6">
        <w:tc>
          <w:tcPr>
            <w:tcW w:w="4248" w:type="dxa"/>
            <w:vAlign w:val="center"/>
          </w:tcPr>
          <w:p w14:paraId="23DA33CB" w14:textId="5717D670" w:rsidR="00AB7EBF" w:rsidRDefault="000368D6" w:rsidP="000368D6">
            <w:pPr>
              <w:pStyle w:val="Normlnprvn"/>
              <w:spacing w:before="0"/>
              <w:jc w:val="center"/>
            </w:pPr>
            <w:r>
              <w:rPr>
                <w:szCs w:val="24"/>
              </w:rPr>
              <w:t>Čestice čp. 140</w:t>
            </w:r>
          </w:p>
        </w:tc>
        <w:tc>
          <w:tcPr>
            <w:tcW w:w="1134" w:type="dxa"/>
            <w:shd w:val="clear" w:color="auto" w:fill="auto"/>
            <w:vAlign w:val="center"/>
          </w:tcPr>
          <w:p w14:paraId="2C1341B7" w14:textId="68E19858" w:rsidR="00AB7EBF" w:rsidRDefault="00AB7EBF" w:rsidP="00B60361">
            <w:pPr>
              <w:pStyle w:val="Normlnprvn"/>
              <w:spacing w:before="0"/>
              <w:jc w:val="center"/>
            </w:pPr>
            <w:r>
              <w:t>47,98</w:t>
            </w:r>
          </w:p>
        </w:tc>
        <w:tc>
          <w:tcPr>
            <w:tcW w:w="1417" w:type="dxa"/>
            <w:shd w:val="clear" w:color="auto" w:fill="auto"/>
            <w:vAlign w:val="center"/>
          </w:tcPr>
          <w:p w14:paraId="79CCDB4D" w14:textId="5B8A5B6E" w:rsidR="00AB7EBF" w:rsidRDefault="00AB7EBF" w:rsidP="00B60361">
            <w:pPr>
              <w:pStyle w:val="Normlnprvn"/>
              <w:spacing w:before="0"/>
              <w:jc w:val="center"/>
              <w:rPr>
                <w:szCs w:val="24"/>
              </w:rPr>
            </w:pPr>
            <w:r>
              <w:rPr>
                <w:szCs w:val="24"/>
              </w:rPr>
              <w:t>22</w:t>
            </w:r>
          </w:p>
        </w:tc>
        <w:tc>
          <w:tcPr>
            <w:tcW w:w="1134" w:type="dxa"/>
            <w:shd w:val="clear" w:color="auto" w:fill="auto"/>
            <w:vAlign w:val="center"/>
          </w:tcPr>
          <w:p w14:paraId="4306004D" w14:textId="165A32B7" w:rsidR="00AB7EBF" w:rsidRDefault="00AB7EBF" w:rsidP="00B60361">
            <w:pPr>
              <w:pStyle w:val="Normlnprvn"/>
              <w:spacing w:before="0"/>
              <w:jc w:val="center"/>
              <w:rPr>
                <w:szCs w:val="24"/>
              </w:rPr>
            </w:pPr>
            <w:r>
              <w:rPr>
                <w:szCs w:val="24"/>
              </w:rPr>
              <w:t>10</w:t>
            </w:r>
          </w:p>
        </w:tc>
        <w:tc>
          <w:tcPr>
            <w:tcW w:w="1134" w:type="dxa"/>
            <w:shd w:val="clear" w:color="auto" w:fill="auto"/>
            <w:vAlign w:val="center"/>
          </w:tcPr>
          <w:p w14:paraId="58465008" w14:textId="11844734" w:rsidR="00AB7EBF" w:rsidRDefault="00AB7EBF" w:rsidP="00B60361">
            <w:pPr>
              <w:pStyle w:val="Normlnprvn"/>
              <w:spacing w:before="0"/>
              <w:jc w:val="center"/>
              <w:rPr>
                <w:b/>
                <w:color w:val="FF0000"/>
                <w:szCs w:val="24"/>
              </w:rPr>
            </w:pPr>
            <w:r>
              <w:rPr>
                <w:b/>
                <w:color w:val="FF0000"/>
                <w:szCs w:val="24"/>
              </w:rPr>
              <w:t>4</w:t>
            </w:r>
          </w:p>
        </w:tc>
      </w:tr>
    </w:tbl>
    <w:p w14:paraId="56AA4135" w14:textId="77777777" w:rsidR="00AD6A82" w:rsidRPr="003E7B98" w:rsidRDefault="00AD6A82" w:rsidP="00AD6A82">
      <w:pPr>
        <w:pStyle w:val="Normlnprvn"/>
        <w:jc w:val="both"/>
        <w:rPr>
          <w:b/>
          <w:bCs/>
          <w:sz w:val="20"/>
        </w:rPr>
      </w:pPr>
      <w:r w:rsidRPr="003E7B98">
        <w:rPr>
          <w:b/>
          <w:bCs/>
          <w:sz w:val="20"/>
        </w:rPr>
        <w:t>Vysvětlivky:</w:t>
      </w:r>
    </w:p>
    <w:tbl>
      <w:tblPr>
        <w:tblStyle w:val="Mkatabulky"/>
        <w:tblW w:w="7650" w:type="dxa"/>
        <w:tblLayout w:type="fixed"/>
        <w:tblLook w:val="04A0" w:firstRow="1" w:lastRow="0" w:firstColumn="1" w:lastColumn="0" w:noHBand="0" w:noVBand="1"/>
      </w:tblPr>
      <w:tblGrid>
        <w:gridCol w:w="988"/>
        <w:gridCol w:w="6662"/>
      </w:tblGrid>
      <w:tr w:rsidR="00AD6A82" w:rsidRPr="003E7B98" w14:paraId="640B9F15" w14:textId="77777777" w:rsidTr="00577965">
        <w:tc>
          <w:tcPr>
            <w:tcW w:w="988" w:type="dxa"/>
            <w:vAlign w:val="center"/>
          </w:tcPr>
          <w:p w14:paraId="5C94779A" w14:textId="77777777" w:rsidR="00AD6A82" w:rsidRPr="003E7B98" w:rsidRDefault="00AD6A82" w:rsidP="00577965">
            <w:pPr>
              <w:pStyle w:val="Normlnprvn"/>
              <w:spacing w:before="0"/>
              <w:jc w:val="center"/>
              <w:rPr>
                <w:b/>
                <w:color w:val="FF0000"/>
                <w:sz w:val="20"/>
              </w:rPr>
            </w:pPr>
            <w:r w:rsidRPr="003E7B98">
              <w:rPr>
                <w:b/>
                <w:color w:val="FF0000"/>
                <w:sz w:val="20"/>
              </w:rPr>
              <w:t>3</w:t>
            </w:r>
          </w:p>
        </w:tc>
        <w:tc>
          <w:tcPr>
            <w:tcW w:w="6662" w:type="dxa"/>
          </w:tcPr>
          <w:p w14:paraId="46BD379F" w14:textId="77777777" w:rsidR="00AD6A82" w:rsidRPr="003E7B98" w:rsidRDefault="00AD6A82" w:rsidP="00577965">
            <w:pPr>
              <w:pStyle w:val="Normlnprvn"/>
              <w:spacing w:before="0"/>
              <w:rPr>
                <w:sz w:val="20"/>
              </w:rPr>
            </w:pPr>
            <w:r w:rsidRPr="003E7B98">
              <w:rPr>
                <w:color w:val="FF0000"/>
                <w:sz w:val="20"/>
              </w:rPr>
              <w:t xml:space="preserve">procento </w:t>
            </w:r>
            <w:r w:rsidRPr="003E7B98">
              <w:rPr>
                <w:sz w:val="20"/>
              </w:rPr>
              <w:t>obyvatel výrazně obtěžovaných nebo rušených hlukem</w:t>
            </w:r>
          </w:p>
        </w:tc>
      </w:tr>
    </w:tbl>
    <w:p w14:paraId="2CE2DE0B" w14:textId="77777777" w:rsidR="00AD6A82" w:rsidRPr="003E7B98" w:rsidRDefault="00AD6A82" w:rsidP="00AD6A82">
      <w:pPr>
        <w:pStyle w:val="Normlnprvn"/>
        <w:jc w:val="both"/>
        <w:rPr>
          <w:sz w:val="20"/>
        </w:rPr>
      </w:pPr>
      <w:r w:rsidRPr="003E7B98">
        <w:rPr>
          <w:sz w:val="20"/>
        </w:rPr>
        <w:t xml:space="preserve">LA = (Little Annoyed), první stupeň obtěžování, který zahrnuje všechny osoby přinejmenším „mírně obtěžovaných“, tj. zahrnuje všechny obtěžované osoby ze všech tří stupňů </w:t>
      </w:r>
    </w:p>
    <w:p w14:paraId="166D17AD" w14:textId="77777777" w:rsidR="00AD6A82" w:rsidRPr="003E7B98" w:rsidRDefault="00AD6A82" w:rsidP="00AD6A82">
      <w:pPr>
        <w:pStyle w:val="Normlnprvn"/>
        <w:spacing w:before="0"/>
        <w:jc w:val="both"/>
        <w:rPr>
          <w:sz w:val="20"/>
        </w:rPr>
      </w:pPr>
      <w:r w:rsidRPr="003E7B98">
        <w:rPr>
          <w:sz w:val="20"/>
        </w:rPr>
        <w:t xml:space="preserve">A = (Annoyed), druhý stupeň obtěžování, který zahrnuje osoby alespoň „středně obtěžované“, tj. zahrnuje všechny středně a vysoce obtěžované osoby </w:t>
      </w:r>
    </w:p>
    <w:p w14:paraId="72320CDB" w14:textId="77777777" w:rsidR="00AD6A82" w:rsidRPr="003E7B98" w:rsidRDefault="00AD6A82" w:rsidP="00AD6A82">
      <w:pPr>
        <w:jc w:val="both"/>
        <w:rPr>
          <w:sz w:val="20"/>
          <w:szCs w:val="20"/>
        </w:rPr>
      </w:pPr>
      <w:r w:rsidRPr="003E7B98">
        <w:rPr>
          <w:sz w:val="20"/>
          <w:szCs w:val="20"/>
        </w:rPr>
        <w:t>HA = (Highly Annoyed), třetí stupeň, který zahrnuje osoby s výraznými pocity obtěžování, tj. pouze osoby obtěžované vysoce</w:t>
      </w:r>
    </w:p>
    <w:bookmarkEnd w:id="4"/>
    <w:bookmarkEnd w:id="5"/>
    <w:p w14:paraId="320923F0" w14:textId="77777777" w:rsidR="00577965" w:rsidRDefault="00577965" w:rsidP="00391D60">
      <w:pPr>
        <w:spacing w:after="120"/>
        <w:jc w:val="both"/>
        <w:rPr>
          <w:b/>
          <w:sz w:val="26"/>
          <w:szCs w:val="26"/>
        </w:rPr>
      </w:pPr>
    </w:p>
    <w:p w14:paraId="154B7497" w14:textId="35AC76C1" w:rsidR="00391D60" w:rsidRPr="000954E4" w:rsidRDefault="00336489" w:rsidP="00391D60">
      <w:pPr>
        <w:spacing w:after="120"/>
        <w:jc w:val="both"/>
        <w:rPr>
          <w:b/>
          <w:sz w:val="26"/>
          <w:szCs w:val="26"/>
        </w:rPr>
      </w:pPr>
      <w:r>
        <w:rPr>
          <w:b/>
          <w:sz w:val="26"/>
          <w:szCs w:val="26"/>
        </w:rPr>
        <w:t>3</w:t>
      </w:r>
      <w:r w:rsidR="00391D60" w:rsidRPr="000954E4">
        <w:rPr>
          <w:b/>
          <w:sz w:val="26"/>
          <w:szCs w:val="26"/>
        </w:rPr>
        <w:t>.4</w:t>
      </w:r>
      <w:r w:rsidR="00391D60" w:rsidRPr="000954E4">
        <w:rPr>
          <w:b/>
          <w:sz w:val="26"/>
          <w:szCs w:val="26"/>
        </w:rPr>
        <w:tab/>
        <w:t>Charakterizace rizika</w:t>
      </w:r>
    </w:p>
    <w:p w14:paraId="020CF7AF" w14:textId="0B29574E" w:rsidR="00577965" w:rsidRDefault="00577965" w:rsidP="00577965">
      <w:pPr>
        <w:pStyle w:val="Normlnprvn"/>
        <w:jc w:val="both"/>
      </w:pPr>
      <w:r w:rsidRPr="007F5B87">
        <w:rPr>
          <w:b/>
          <w:bCs/>
        </w:rPr>
        <w:t xml:space="preserve">Pro zhodnocení </w:t>
      </w:r>
      <w:r>
        <w:rPr>
          <w:b/>
          <w:bCs/>
        </w:rPr>
        <w:t xml:space="preserve">rizika expozice </w:t>
      </w:r>
      <w:r w:rsidR="005C2D1E" w:rsidRPr="00914C9A">
        <w:rPr>
          <w:rFonts w:eastAsia="TimesNewRoman"/>
          <w:b/>
        </w:rPr>
        <w:t>hluku z průmyslových stacionárních zdrojů</w:t>
      </w:r>
      <w:r w:rsidR="005C2D1E" w:rsidRPr="00914C9A">
        <w:rPr>
          <w:rFonts w:eastAsia="TimesNewRoman"/>
        </w:rPr>
        <w:t xml:space="preserve"> </w:t>
      </w:r>
      <w:r w:rsidRPr="007F5B87">
        <w:t xml:space="preserve">se </w:t>
      </w:r>
      <w:r>
        <w:t>pos</w:t>
      </w:r>
      <w:r w:rsidRPr="007F5B87">
        <w:t>u</w:t>
      </w:r>
      <w:r>
        <w:t>zuje</w:t>
      </w:r>
      <w:r w:rsidRPr="007F5B87">
        <w:t xml:space="preserve"> situac</w:t>
      </w:r>
      <w:r>
        <w:t>e</w:t>
      </w:r>
      <w:r w:rsidRPr="007F5B87">
        <w:t xml:space="preserve"> v zájmové lokalitě z hlediska „počtu pravděpodobně obtěžovaných obyvatel“ na základě hodnot </w:t>
      </w:r>
      <w:r w:rsidRPr="003D376B">
        <w:rPr>
          <w:iCs/>
        </w:rPr>
        <w:t>L</w:t>
      </w:r>
      <w:r w:rsidRPr="005623E5">
        <w:rPr>
          <w:vertAlign w:val="subscript"/>
        </w:rPr>
        <w:t>dvn</w:t>
      </w:r>
      <w:r w:rsidRPr="007F5B87">
        <w:t xml:space="preserve">. </w:t>
      </w:r>
    </w:p>
    <w:p w14:paraId="4686958B" w14:textId="7D29DC69" w:rsidR="00577965" w:rsidRDefault="00577965" w:rsidP="00577965">
      <w:pPr>
        <w:autoSpaceDE w:val="0"/>
        <w:autoSpaceDN w:val="0"/>
        <w:adjustRightInd w:val="0"/>
        <w:jc w:val="both"/>
        <w:rPr>
          <w:bCs/>
        </w:rPr>
      </w:pPr>
      <w:r w:rsidRPr="00B630FF">
        <w:rPr>
          <w:b/>
        </w:rPr>
        <w:t>Pro hodnocení rizika v noční době</w:t>
      </w:r>
      <w:r w:rsidRPr="00B630FF">
        <w:t xml:space="preserve"> </w:t>
      </w:r>
      <w:r w:rsidR="00BB68CE">
        <w:t>nejsou relevantní vztahy pro hluk ze stacionárních zdrojů, proto je toto riziko posouzeno podle hygienických limitů pro</w:t>
      </w:r>
      <w:r w:rsidRPr="00B630FF">
        <w:rPr>
          <w:bCs/>
        </w:rPr>
        <w:t xml:space="preserve"> </w:t>
      </w:r>
      <w:r w:rsidR="00BB68CE">
        <w:rPr>
          <w:bCs/>
        </w:rPr>
        <w:t xml:space="preserve">noční dobu </w:t>
      </w:r>
      <w:r w:rsidRPr="00B630FF">
        <w:rPr>
          <w:bCs/>
        </w:rPr>
        <w:t>L</w:t>
      </w:r>
      <w:r w:rsidRPr="00B630FF">
        <w:rPr>
          <w:bCs/>
          <w:vertAlign w:val="subscript"/>
        </w:rPr>
        <w:t>Aeq,</w:t>
      </w:r>
      <w:r w:rsidR="00BB68CE">
        <w:rPr>
          <w:bCs/>
          <w:vertAlign w:val="subscript"/>
        </w:rPr>
        <w:t>1</w:t>
      </w:r>
      <w:r w:rsidRPr="00B630FF">
        <w:rPr>
          <w:bCs/>
          <w:vertAlign w:val="subscript"/>
        </w:rPr>
        <w:t xml:space="preserve">h </w:t>
      </w:r>
      <w:r w:rsidRPr="00B630FF">
        <w:rPr>
          <w:bCs/>
        </w:rPr>
        <w:t xml:space="preserve"> </w:t>
      </w:r>
      <w:r w:rsidR="00BB68CE">
        <w:rPr>
          <w:bCs/>
        </w:rPr>
        <w:t xml:space="preserve">40 dB. </w:t>
      </w:r>
    </w:p>
    <w:p w14:paraId="016E9D0C" w14:textId="77777777" w:rsidR="00FB31C9" w:rsidRDefault="00336489" w:rsidP="00D520F2">
      <w:pPr>
        <w:spacing w:before="120" w:after="120"/>
        <w:jc w:val="both"/>
        <w:rPr>
          <w:b/>
        </w:rPr>
      </w:pPr>
      <w:r w:rsidRPr="00D520F2">
        <w:rPr>
          <w:b/>
        </w:rPr>
        <w:t xml:space="preserve">Hlukem ze stacionárních zdrojů by v současné době mohlo být obtěžováno v domě </w:t>
      </w:r>
      <w:r w:rsidR="00800D39">
        <w:rPr>
          <w:b/>
        </w:rPr>
        <w:t xml:space="preserve">Častolovice </w:t>
      </w:r>
      <w:r w:rsidRPr="00D520F2">
        <w:rPr>
          <w:b/>
        </w:rPr>
        <w:t xml:space="preserve">čp. </w:t>
      </w:r>
      <w:r w:rsidR="003566CF">
        <w:rPr>
          <w:b/>
        </w:rPr>
        <w:t>206</w:t>
      </w:r>
      <w:r w:rsidR="00D520F2" w:rsidRPr="00D520F2">
        <w:rPr>
          <w:b/>
        </w:rPr>
        <w:t xml:space="preserve"> </w:t>
      </w:r>
      <w:r w:rsidR="00800D39">
        <w:rPr>
          <w:b/>
        </w:rPr>
        <w:t xml:space="preserve">cca </w:t>
      </w:r>
      <w:r w:rsidR="003566CF">
        <w:rPr>
          <w:b/>
        </w:rPr>
        <w:t>6</w:t>
      </w:r>
      <w:r w:rsidR="00D520F2" w:rsidRPr="00D520F2">
        <w:rPr>
          <w:b/>
        </w:rPr>
        <w:t>% osob z </w:t>
      </w:r>
      <w:r w:rsidR="000368D6">
        <w:rPr>
          <w:b/>
        </w:rPr>
        <w:t>12</w:t>
      </w:r>
      <w:r w:rsidR="00800D39">
        <w:rPr>
          <w:b/>
        </w:rPr>
        <w:t xml:space="preserve"> obyvatel </w:t>
      </w:r>
      <w:r w:rsidR="00D520F2" w:rsidRPr="00D520F2">
        <w:rPr>
          <w:b/>
        </w:rPr>
        <w:t>(</w:t>
      </w:r>
      <w:r w:rsidR="000368D6">
        <w:rPr>
          <w:b/>
        </w:rPr>
        <w:t>což je</w:t>
      </w:r>
      <w:r w:rsidR="00E11361">
        <w:rPr>
          <w:b/>
        </w:rPr>
        <w:t xml:space="preserve"> </w:t>
      </w:r>
      <w:r w:rsidR="00D520F2" w:rsidRPr="00D520F2">
        <w:rPr>
          <w:b/>
        </w:rPr>
        <w:t>méně než 1 osoba)</w:t>
      </w:r>
      <w:r w:rsidRPr="00D520F2">
        <w:rPr>
          <w:b/>
        </w:rPr>
        <w:t xml:space="preserve"> a </w:t>
      </w:r>
      <w:r w:rsidR="00800D39">
        <w:rPr>
          <w:b/>
        </w:rPr>
        <w:t xml:space="preserve">v ostatních domech nejblíže k posuzovanému záměru by mohlo mít pocity obtěžování hlukem z provozu </w:t>
      </w:r>
      <w:r w:rsidRPr="00D520F2">
        <w:rPr>
          <w:b/>
        </w:rPr>
        <w:t>4 % osob.</w:t>
      </w:r>
      <w:r w:rsidR="00FB31C9">
        <w:rPr>
          <w:b/>
        </w:rPr>
        <w:t xml:space="preserve"> </w:t>
      </w:r>
    </w:p>
    <w:p w14:paraId="14A291F1" w14:textId="1FFE26EF" w:rsidR="00336489" w:rsidRPr="00D520F2" w:rsidRDefault="00FB31C9" w:rsidP="00D520F2">
      <w:pPr>
        <w:spacing w:before="120" w:after="120"/>
        <w:jc w:val="both"/>
        <w:rPr>
          <w:b/>
        </w:rPr>
      </w:pPr>
      <w:r>
        <w:rPr>
          <w:b/>
        </w:rPr>
        <w:t>Vzhledem k zjištěným ekvivalentním hladinám hluku ve vnitřních prostorech domu čp. 206 Častolovice (L</w:t>
      </w:r>
      <w:r>
        <w:rPr>
          <w:b/>
          <w:vertAlign w:val="subscript"/>
        </w:rPr>
        <w:t>Aeq,8h</w:t>
      </w:r>
      <w:r>
        <w:rPr>
          <w:b/>
        </w:rPr>
        <w:t xml:space="preserve"> 26,2 dB resp. 23,2 dB) je výše provedený odhad obtěžovaných obyvatel výrazně nadhodnocen.</w:t>
      </w:r>
    </w:p>
    <w:p w14:paraId="68CD203B" w14:textId="569F7748" w:rsidR="00E11361" w:rsidRPr="00D520F2" w:rsidRDefault="00E11361" w:rsidP="00E11361">
      <w:pPr>
        <w:autoSpaceDE w:val="0"/>
        <w:autoSpaceDN w:val="0"/>
        <w:adjustRightInd w:val="0"/>
        <w:spacing w:before="120"/>
        <w:jc w:val="both"/>
        <w:rPr>
          <w:rFonts w:eastAsia="TimesNewRoman"/>
          <w:b/>
        </w:rPr>
      </w:pPr>
      <w:r w:rsidRPr="00D520F2">
        <w:rPr>
          <w:rFonts w:eastAsia="TimesNewRoman"/>
          <w:b/>
        </w:rPr>
        <w:t xml:space="preserve">Je třeba si ale uvědomit, že vztahy expozice a účinku byly odvozeny pro obtěžování vyvolané dlouhodobou hlukovou expozicí a jsou zprůměrňovány na celou populaci. Nemusí tedy platit pro jednotlivce nebo malé soubory exponovaných osob, jako je tomu v </w:t>
      </w:r>
      <w:r w:rsidR="00344DA4">
        <w:rPr>
          <w:rFonts w:eastAsia="TimesNewRoman"/>
          <w:b/>
        </w:rPr>
        <w:t>tomto</w:t>
      </w:r>
      <w:r w:rsidRPr="00D520F2">
        <w:rPr>
          <w:rFonts w:eastAsia="TimesNewRoman"/>
          <w:b/>
        </w:rPr>
        <w:t xml:space="preserve"> případ</w:t>
      </w:r>
      <w:r w:rsidR="00800D39">
        <w:rPr>
          <w:rFonts w:eastAsia="TimesNewRoman"/>
          <w:b/>
        </w:rPr>
        <w:t>ě</w:t>
      </w:r>
      <w:r w:rsidRPr="00D520F2">
        <w:rPr>
          <w:rFonts w:eastAsia="TimesNewRoman"/>
          <w:b/>
        </w:rPr>
        <w:t xml:space="preserve"> u obyvatel hodnocených nejbližších domů, kde může být obtěžující a rušivý účinek hluku významně modifikován jak individuální vnímavostí konkrétních </w:t>
      </w:r>
      <w:r w:rsidRPr="00D520F2">
        <w:rPr>
          <w:rFonts w:eastAsia="TimesNewRoman"/>
          <w:b/>
        </w:rPr>
        <w:lastRenderedPageBreak/>
        <w:t>osob vůči hluku, tak jejich osobním vztahem ke zdrojům hluku, konkrétní orientací oken hlavních pobytových místností a dalšími faktory a významně se lišit od vypočtených údajů.</w:t>
      </w:r>
    </w:p>
    <w:p w14:paraId="542DB816" w14:textId="77777777" w:rsidR="005F2C1F" w:rsidRPr="00A25DF6" w:rsidRDefault="005F2C1F" w:rsidP="00336489">
      <w:pPr>
        <w:spacing w:before="120"/>
        <w:jc w:val="both"/>
      </w:pPr>
      <w:r>
        <w:t>Pod</w:t>
      </w:r>
      <w:r w:rsidRPr="00487904">
        <w:t>le doporučení WHO je během dne jen málo lidí vážně obtěžováno při svých aktivitách ekvivalen</w:t>
      </w:r>
      <w:r>
        <w:t xml:space="preserve">tní hladinou hluku pod 55 dB </w:t>
      </w:r>
      <w:r w:rsidRPr="00487904">
        <w:t xml:space="preserve">anebo mírně obtěžováno při </w:t>
      </w:r>
      <w:r>
        <w:t>hladinách hluku</w:t>
      </w:r>
      <w:r w:rsidRPr="00487904">
        <w:t xml:space="preserve"> pod 50 dB. </w:t>
      </w:r>
      <w:r>
        <w:t>Přesto je třeba počítat s tím, že ú</w:t>
      </w:r>
      <w:r w:rsidRPr="00336489">
        <w:rPr>
          <w:rFonts w:eastAsia="TimesNewRoman"/>
        </w:rPr>
        <w:t>činek hluku je do jisté míry bezprahový a pro citlivou část populace se obtěžující efekt může projevit i při úrovni expozice pod prahovými hodnotami obtěžujících účinků hluku pro průměrně citlivou populaci.</w:t>
      </w:r>
    </w:p>
    <w:p w14:paraId="59C761BD" w14:textId="77777777" w:rsidR="005C35C3" w:rsidRDefault="005C35C3" w:rsidP="00577965">
      <w:pPr>
        <w:spacing w:after="120"/>
        <w:rPr>
          <w:b/>
          <w:sz w:val="28"/>
          <w:szCs w:val="28"/>
        </w:rPr>
      </w:pPr>
    </w:p>
    <w:p w14:paraId="58005548" w14:textId="77777777" w:rsidR="00577965" w:rsidRPr="00BF0EA9" w:rsidRDefault="00577965" w:rsidP="00577965">
      <w:pPr>
        <w:spacing w:after="120"/>
        <w:rPr>
          <w:b/>
          <w:bCs/>
          <w:color w:val="C0C0C0"/>
          <w:sz w:val="28"/>
          <w:szCs w:val="28"/>
        </w:rPr>
      </w:pPr>
      <w:r>
        <w:rPr>
          <w:b/>
          <w:sz w:val="28"/>
          <w:szCs w:val="28"/>
        </w:rPr>
        <w:t>3</w:t>
      </w:r>
      <w:r w:rsidRPr="00BF0EA9">
        <w:rPr>
          <w:b/>
          <w:sz w:val="28"/>
          <w:szCs w:val="28"/>
        </w:rPr>
        <w:t>.</w:t>
      </w:r>
      <w:r>
        <w:rPr>
          <w:b/>
          <w:sz w:val="28"/>
          <w:szCs w:val="28"/>
        </w:rPr>
        <w:t>5</w:t>
      </w:r>
      <w:r w:rsidRPr="00BF0EA9">
        <w:rPr>
          <w:b/>
          <w:sz w:val="28"/>
          <w:szCs w:val="28"/>
        </w:rPr>
        <w:tab/>
      </w:r>
      <w:r w:rsidRPr="00BF0EA9">
        <w:rPr>
          <w:b/>
          <w:bCs/>
          <w:sz w:val="28"/>
          <w:szCs w:val="28"/>
        </w:rPr>
        <w:t>Analýza nejistot</w:t>
      </w:r>
    </w:p>
    <w:p w14:paraId="3B182D1B" w14:textId="77777777" w:rsidR="00577965" w:rsidRPr="00C74A41" w:rsidRDefault="00577965" w:rsidP="00577965">
      <w:pPr>
        <w:autoSpaceDE w:val="0"/>
        <w:autoSpaceDN w:val="0"/>
        <w:adjustRightInd w:val="0"/>
        <w:spacing w:before="120"/>
        <w:jc w:val="both"/>
      </w:pPr>
      <w:r w:rsidRPr="00C74A41">
        <w:t>Při hodnocení působení hluku na lidské zdraví si obecně musíme být vědomi nejistot, kterými</w:t>
      </w:r>
      <w:r>
        <w:t xml:space="preserve"> </w:t>
      </w:r>
      <w:r w:rsidRPr="00C74A41">
        <w:t>je tento proces zatížen. V podstatě jsou dvojí. Jedny jsou dány neschopností fyzikálních</w:t>
      </w:r>
      <w:r>
        <w:t xml:space="preserve"> </w:t>
      </w:r>
      <w:r w:rsidRPr="00C74A41">
        <w:t>parametrů hluku, které máme k dispozici, jednoduše popsat fyziologickou závažnost, tedy</w:t>
      </w:r>
      <w:r>
        <w:t xml:space="preserve"> </w:t>
      </w:r>
      <w:r w:rsidRPr="00C74A41">
        <w:t>nebezpečnost hlukové události a druhé vyplývají ze skutečnosti, že účinek hluku je variabilní</w:t>
      </w:r>
      <w:r>
        <w:t xml:space="preserve"> </w:t>
      </w:r>
      <w:r w:rsidRPr="00C74A41">
        <w:t>nejen int</w:t>
      </w:r>
      <w:r>
        <w:t>ra</w:t>
      </w:r>
      <w:r w:rsidRPr="00C74A41">
        <w:t>individuálně, ale i situačně, sociálně, emocionálně a historicky. V praxi se proto</w:t>
      </w:r>
      <w:r>
        <w:t xml:space="preserve"> </w:t>
      </w:r>
      <w:r w:rsidRPr="00C74A41">
        <w:t>nezřídka setkáváme se situace</w:t>
      </w:r>
      <w:r>
        <w:t>mi, kdy lidé postižení hlukem v </w:t>
      </w:r>
      <w:r w:rsidRPr="00C74A41">
        <w:t>konkrétních podmínkách</w:t>
      </w:r>
      <w:r>
        <w:t xml:space="preserve"> </w:t>
      </w:r>
      <w:r w:rsidRPr="00C74A41">
        <w:t>nepotvrzují platnost stanovených limitů, neboť z exponované populace se vydělují skupiny</w:t>
      </w:r>
      <w:r>
        <w:t xml:space="preserve"> </w:t>
      </w:r>
      <w:r w:rsidRPr="00C74A41">
        <w:t>osob velmi citlivých a naopak velmi rezistentních, které stojí jakoby mimo kvantitativní</w:t>
      </w:r>
      <w:r>
        <w:t xml:space="preserve"> </w:t>
      </w:r>
      <w:r w:rsidRPr="00C74A41">
        <w:t>závislosti. Za různých okolností představují tyto atypické reakce 5–20 % celého souboru.</w:t>
      </w:r>
    </w:p>
    <w:p w14:paraId="2987362F" w14:textId="0D9AB7F6" w:rsidR="00577965" w:rsidRDefault="00577965" w:rsidP="00577965">
      <w:pPr>
        <w:autoSpaceDE w:val="0"/>
        <w:autoSpaceDN w:val="0"/>
        <w:adjustRightInd w:val="0"/>
        <w:jc w:val="both"/>
      </w:pPr>
      <w:r w:rsidRPr="00C74A41">
        <w:t>Z hlediska zvýšené citlivosti některých populačních skupin vůči nepříznivým zdravotním</w:t>
      </w:r>
      <w:r>
        <w:t xml:space="preserve"> </w:t>
      </w:r>
      <w:r w:rsidRPr="00C74A41">
        <w:t>účinkům hluku bylo např. prokázáno, že lidé starší, nemocní a lidé s potížemi se spaním jsou</w:t>
      </w:r>
      <w:r>
        <w:t xml:space="preserve"> </w:t>
      </w:r>
      <w:r w:rsidRPr="00C74A41">
        <w:t>zvýšeně citliví vůči narušení spánku hluke</w:t>
      </w:r>
      <w:r>
        <w:t xml:space="preserve">m. </w:t>
      </w:r>
      <w:r w:rsidRPr="00C74A41">
        <w:t>Se zvýšeným rizikem</w:t>
      </w:r>
      <w:r>
        <w:t xml:space="preserve"> </w:t>
      </w:r>
      <w:r w:rsidRPr="00C74A41">
        <w:t>výrazného obtěžování hlukem je nutné počítat u lidí senzitivních, lidí majících obavy</w:t>
      </w:r>
      <w:r>
        <w:t xml:space="preserve"> </w:t>
      </w:r>
      <w:r w:rsidRPr="00C74A41">
        <w:t>z určitého zdroje hluku a lidí, kteří cítí, že nad danou hlukovou situací nemají možnost</w:t>
      </w:r>
      <w:r>
        <w:t xml:space="preserve"> </w:t>
      </w:r>
      <w:r w:rsidRPr="00C74A41">
        <w:t>kontroly.</w:t>
      </w:r>
    </w:p>
    <w:p w14:paraId="0E5F3B99" w14:textId="77777777" w:rsidR="00C97EB1" w:rsidRPr="00800D39" w:rsidRDefault="00C97EB1" w:rsidP="00577965">
      <w:pPr>
        <w:autoSpaceDE w:val="0"/>
        <w:autoSpaceDN w:val="0"/>
        <w:adjustRightInd w:val="0"/>
        <w:jc w:val="both"/>
        <w:rPr>
          <w:b/>
        </w:rPr>
      </w:pPr>
      <w:r w:rsidRPr="00800D39">
        <w:rPr>
          <w:b/>
        </w:rPr>
        <w:t>V případě hodnocení hluku z průmyslových stacionárních zdrojů je nezbytné zdůraznit, že byly použity vztahy pouze pro orientační vyhodnocení rizika, které nejsou dostatečně spolehlivé a jsou tedy zatíženy velmi vysokou nejistotou.</w:t>
      </w:r>
    </w:p>
    <w:p w14:paraId="03900D58" w14:textId="53327F53" w:rsidR="00C97EB1" w:rsidRDefault="00C97EB1" w:rsidP="00577965">
      <w:pPr>
        <w:autoSpaceDE w:val="0"/>
        <w:autoSpaceDN w:val="0"/>
        <w:adjustRightInd w:val="0"/>
        <w:jc w:val="both"/>
      </w:pPr>
      <w:r>
        <w:t xml:space="preserve">Další nejistota tohoto hodnocení rizik je použití nejvyšších vypočtených hladin hluku na fasádách domů.  </w:t>
      </w:r>
      <w:r w:rsidR="006139C1">
        <w:t xml:space="preserve">Nejistotou je i neznalost </w:t>
      </w:r>
      <w:r>
        <w:t xml:space="preserve">dispozice domů </w:t>
      </w:r>
      <w:r w:rsidR="006139C1">
        <w:t>a chování obyvatel, předpokládá se celodenní pobyt v místě.</w:t>
      </w:r>
      <w:r>
        <w:t xml:space="preserve"> </w:t>
      </w:r>
    </w:p>
    <w:p w14:paraId="190A8D91" w14:textId="210B4243" w:rsidR="00577965" w:rsidRDefault="006139C1" w:rsidP="00577965">
      <w:pPr>
        <w:pStyle w:val="Zkladntext"/>
      </w:pPr>
      <w:r w:rsidRPr="006139C1">
        <w:t>S ohledem na výše uvedené nejistoty je nutné mít na paměti, že při kvantitativní charakterizaci rizika expozice hluku se jedná spíše o odborný (kvalifikovaný) odhad</w:t>
      </w:r>
      <w:r>
        <w:t>,</w:t>
      </w:r>
      <w:r w:rsidRPr="006139C1">
        <w:t xml:space="preserve"> nežli o přesný (exaktní) výpočet počtu pravděpodobně obtěžovaných osob. Je tedy nutné posuzovat trendy než jednotlivé počty osob pravděpodobně obtěžovaných</w:t>
      </w:r>
      <w:r>
        <w:t>.</w:t>
      </w:r>
    </w:p>
    <w:p w14:paraId="47F9BFAF" w14:textId="77777777" w:rsidR="006139C1" w:rsidRPr="006139C1" w:rsidRDefault="006139C1" w:rsidP="00577965">
      <w:pPr>
        <w:pStyle w:val="Zkladntext"/>
      </w:pPr>
    </w:p>
    <w:p w14:paraId="3CB42D86" w14:textId="27D84D5C" w:rsidR="00577965" w:rsidRPr="003C7E51" w:rsidRDefault="00577965" w:rsidP="00577965">
      <w:pPr>
        <w:shd w:val="clear" w:color="auto" w:fill="FFFFFF"/>
        <w:spacing w:after="120"/>
        <w:rPr>
          <w:b/>
          <w:bCs/>
          <w:sz w:val="28"/>
          <w:szCs w:val="28"/>
        </w:rPr>
      </w:pPr>
      <w:r>
        <w:rPr>
          <w:b/>
          <w:sz w:val="28"/>
          <w:szCs w:val="28"/>
        </w:rPr>
        <w:t>3.6</w:t>
      </w:r>
      <w:r w:rsidRPr="003C7E51">
        <w:rPr>
          <w:b/>
          <w:sz w:val="28"/>
          <w:szCs w:val="28"/>
        </w:rPr>
        <w:tab/>
        <w:t>Závěr</w:t>
      </w:r>
      <w:r w:rsidRPr="003C7E51">
        <w:rPr>
          <w:b/>
          <w:bCs/>
          <w:sz w:val="28"/>
          <w:szCs w:val="28"/>
        </w:rPr>
        <w:t xml:space="preserve"> </w:t>
      </w:r>
    </w:p>
    <w:p w14:paraId="11F73A03" w14:textId="49733A6B" w:rsidR="00577965" w:rsidRPr="006A7194" w:rsidRDefault="00577965" w:rsidP="006A7194">
      <w:pPr>
        <w:pStyle w:val="Zkladntext"/>
      </w:pPr>
      <w:r w:rsidRPr="002844E0">
        <w:t>Na základě vyhodnocení předložených podkladů, s ohledem na výše uvedené skutečnosti a po uvážení všech výše uvedených nejistot, lze konstatovat následující závěry:</w:t>
      </w:r>
    </w:p>
    <w:p w14:paraId="6320A443" w14:textId="1E7A6809" w:rsidR="00800D39" w:rsidRDefault="006A7194" w:rsidP="004E700B">
      <w:pPr>
        <w:pStyle w:val="Zkladntext"/>
        <w:spacing w:before="120"/>
        <w:rPr>
          <w:b/>
          <w:bCs/>
          <w:iCs/>
        </w:rPr>
      </w:pPr>
      <w:r>
        <w:rPr>
          <w:b/>
          <w:bCs/>
          <w:iCs/>
        </w:rPr>
        <w:t xml:space="preserve">Hluk ze stacionárních zdrojů </w:t>
      </w:r>
      <w:r w:rsidR="00800D39">
        <w:rPr>
          <w:b/>
          <w:bCs/>
          <w:iCs/>
        </w:rPr>
        <w:t>závodu</w:t>
      </w:r>
      <w:r w:rsidR="00800D39" w:rsidRPr="00800D39">
        <w:rPr>
          <w:b/>
        </w:rPr>
        <w:t xml:space="preserve"> společnosti Saint-Gobain Construction Products CZ a.s., Masarykova 197, 517 50 Častolovice</w:t>
      </w:r>
      <w:r w:rsidR="00800D39">
        <w:rPr>
          <w:b/>
          <w:bCs/>
          <w:iCs/>
        </w:rPr>
        <w:t xml:space="preserve"> </w:t>
      </w:r>
      <w:r>
        <w:rPr>
          <w:b/>
          <w:bCs/>
          <w:iCs/>
        </w:rPr>
        <w:t xml:space="preserve">je pro obyvatele žijící v blízkém okolí </w:t>
      </w:r>
      <w:r w:rsidR="00B72FED">
        <w:rPr>
          <w:b/>
          <w:bCs/>
          <w:iCs/>
        </w:rPr>
        <w:t xml:space="preserve">možným </w:t>
      </w:r>
      <w:r>
        <w:rPr>
          <w:b/>
          <w:bCs/>
          <w:iCs/>
        </w:rPr>
        <w:t>zdrojem rizika nepříznivých účinků hluku</w:t>
      </w:r>
      <w:r w:rsidR="00661C6B">
        <w:rPr>
          <w:b/>
          <w:bCs/>
          <w:iCs/>
        </w:rPr>
        <w:t>, které se mohou projevovat pocity rušení spánku</w:t>
      </w:r>
      <w:r w:rsidR="002331BB">
        <w:rPr>
          <w:b/>
          <w:bCs/>
          <w:iCs/>
        </w:rPr>
        <w:t xml:space="preserve"> či</w:t>
      </w:r>
      <w:r w:rsidR="00661C6B">
        <w:rPr>
          <w:b/>
          <w:bCs/>
          <w:iCs/>
        </w:rPr>
        <w:t xml:space="preserve"> </w:t>
      </w:r>
      <w:r w:rsidR="002331BB">
        <w:rPr>
          <w:b/>
          <w:bCs/>
          <w:iCs/>
        </w:rPr>
        <w:t xml:space="preserve">vnímanou horší kvalitou spánku </w:t>
      </w:r>
      <w:r w:rsidR="00DB62B8">
        <w:rPr>
          <w:b/>
          <w:bCs/>
          <w:iCs/>
        </w:rPr>
        <w:t xml:space="preserve">a případným </w:t>
      </w:r>
      <w:r w:rsidR="00661C6B">
        <w:rPr>
          <w:b/>
          <w:bCs/>
          <w:iCs/>
        </w:rPr>
        <w:t xml:space="preserve">zvýšeným užíváním sedativ. </w:t>
      </w:r>
      <w:r w:rsidR="002331BB">
        <w:rPr>
          <w:b/>
          <w:bCs/>
          <w:iCs/>
        </w:rPr>
        <w:t xml:space="preserve">Na tyto nepříznivé účinky se většina lidí adaptuje, pouze u citlivější části populace je adaptování problematičtější. </w:t>
      </w:r>
    </w:p>
    <w:p w14:paraId="7607BB3D" w14:textId="21A70BB9" w:rsidR="00D836ED" w:rsidRPr="00D520F2" w:rsidRDefault="00D836ED" w:rsidP="004E700B">
      <w:pPr>
        <w:spacing w:after="120"/>
        <w:jc w:val="both"/>
        <w:rPr>
          <w:b/>
        </w:rPr>
      </w:pPr>
      <w:r>
        <w:rPr>
          <w:b/>
        </w:rPr>
        <w:lastRenderedPageBreak/>
        <w:t>Vzhledem k zjištěným ekvivalentním hladinám hluku ve vnitřních prostorech domu čp. 206 Častolovice (L</w:t>
      </w:r>
      <w:r>
        <w:rPr>
          <w:b/>
          <w:vertAlign w:val="subscript"/>
        </w:rPr>
        <w:t>Aeq,8h</w:t>
      </w:r>
      <w:r>
        <w:rPr>
          <w:b/>
        </w:rPr>
        <w:t xml:space="preserve"> 26,2 dB resp. 23,2 dB) je provedený odhad obtěžovaných obyvatel výrazně nadhodnocen.</w:t>
      </w:r>
    </w:p>
    <w:p w14:paraId="539E7DF1" w14:textId="77777777" w:rsidR="004E700B" w:rsidRDefault="00D836ED" w:rsidP="00800D39">
      <w:pPr>
        <w:jc w:val="both"/>
        <w:rPr>
          <w:bCs/>
          <w:iCs/>
        </w:rPr>
      </w:pPr>
      <w:r w:rsidRPr="00D836ED">
        <w:rPr>
          <w:bCs/>
          <w:iCs/>
        </w:rPr>
        <w:t>Lze předpokládat, že r</w:t>
      </w:r>
      <w:r w:rsidR="00661C6B" w:rsidRPr="00D836ED">
        <w:rPr>
          <w:bCs/>
          <w:iCs/>
        </w:rPr>
        <w:t xml:space="preserve">ealizace </w:t>
      </w:r>
      <w:r w:rsidR="006A7194" w:rsidRPr="00D836ED">
        <w:rPr>
          <w:bCs/>
          <w:iCs/>
        </w:rPr>
        <w:t>navržených opatření</w:t>
      </w:r>
      <w:r w:rsidR="00800D39" w:rsidRPr="00D836ED">
        <w:rPr>
          <w:bCs/>
          <w:iCs/>
        </w:rPr>
        <w:t>:</w:t>
      </w:r>
      <w:r w:rsidR="006A7194" w:rsidRPr="00D836ED">
        <w:rPr>
          <w:bCs/>
          <w:iCs/>
        </w:rPr>
        <w:t xml:space="preserve"> </w:t>
      </w:r>
      <w:r w:rsidR="00800D39" w:rsidRPr="00D836ED">
        <w:t xml:space="preserve">protihluková stěna u MOLDOW ČA 1 a filtrace, </w:t>
      </w:r>
      <w:r w:rsidR="00B14593" w:rsidRPr="00D836ED">
        <w:t xml:space="preserve">případně </w:t>
      </w:r>
      <w:r w:rsidR="00800D39" w:rsidRPr="00D836ED">
        <w:t xml:space="preserve">PHS podél silnice ve směru k BD čp. 206, </w:t>
      </w:r>
      <w:r w:rsidR="00B14593" w:rsidRPr="00D836ED">
        <w:t>anebo</w:t>
      </w:r>
      <w:r w:rsidR="00800D39" w:rsidRPr="00D836ED">
        <w:t xml:space="preserve"> odkup nemovitosti čp. 206 </w:t>
      </w:r>
      <w:r w:rsidR="006A7194" w:rsidRPr="00D836ED">
        <w:rPr>
          <w:bCs/>
          <w:iCs/>
        </w:rPr>
        <w:t>tuto situaci</w:t>
      </w:r>
      <w:r w:rsidR="002331BB" w:rsidRPr="00D836ED">
        <w:rPr>
          <w:bCs/>
          <w:iCs/>
        </w:rPr>
        <w:t xml:space="preserve"> v okolí závodu</w:t>
      </w:r>
      <w:r w:rsidR="006A7194" w:rsidRPr="00D836ED">
        <w:rPr>
          <w:bCs/>
          <w:iCs/>
        </w:rPr>
        <w:t xml:space="preserve"> výrazně ovlivní příznivě.</w:t>
      </w:r>
      <w:r w:rsidR="00661C6B" w:rsidRPr="00D836ED">
        <w:rPr>
          <w:bCs/>
          <w:iCs/>
        </w:rPr>
        <w:t xml:space="preserve"> </w:t>
      </w:r>
    </w:p>
    <w:p w14:paraId="42FFD457" w14:textId="1EF02D9E" w:rsidR="006A7194" w:rsidRPr="004E700B" w:rsidRDefault="00CE269E" w:rsidP="00800D39">
      <w:pPr>
        <w:jc w:val="both"/>
        <w:rPr>
          <w:b/>
          <w:bCs/>
          <w:iCs/>
        </w:rPr>
      </w:pPr>
      <w:r w:rsidRPr="004E700B">
        <w:rPr>
          <w:b/>
          <w:bCs/>
          <w:iCs/>
        </w:rPr>
        <w:t>Doba,</w:t>
      </w:r>
      <w:r w:rsidR="00661C6B" w:rsidRPr="004E700B">
        <w:rPr>
          <w:b/>
          <w:bCs/>
          <w:iCs/>
        </w:rPr>
        <w:t xml:space="preserve"> </w:t>
      </w:r>
      <w:r w:rsidR="002331BB" w:rsidRPr="004E700B">
        <w:rPr>
          <w:b/>
          <w:bCs/>
          <w:iCs/>
        </w:rPr>
        <w:t xml:space="preserve">než budou </w:t>
      </w:r>
      <w:r w:rsidR="00800D39" w:rsidRPr="004E700B">
        <w:rPr>
          <w:b/>
          <w:bCs/>
          <w:iCs/>
        </w:rPr>
        <w:t>případná</w:t>
      </w:r>
      <w:r w:rsidR="002331BB" w:rsidRPr="004E700B">
        <w:rPr>
          <w:b/>
          <w:bCs/>
          <w:iCs/>
        </w:rPr>
        <w:t xml:space="preserve"> </w:t>
      </w:r>
      <w:r w:rsidR="004E700B">
        <w:rPr>
          <w:b/>
          <w:bCs/>
          <w:iCs/>
        </w:rPr>
        <w:t xml:space="preserve">protihluková </w:t>
      </w:r>
      <w:r w:rsidR="002331BB" w:rsidRPr="004E700B">
        <w:rPr>
          <w:b/>
          <w:bCs/>
          <w:iCs/>
        </w:rPr>
        <w:t>opatření realizována</w:t>
      </w:r>
      <w:r w:rsidRPr="004E700B">
        <w:rPr>
          <w:b/>
          <w:bCs/>
          <w:iCs/>
        </w:rPr>
        <w:t>, je z hlediska zdravotních rizik akceptovatelná</w:t>
      </w:r>
      <w:r w:rsidR="002331BB" w:rsidRPr="004E700B">
        <w:rPr>
          <w:b/>
          <w:bCs/>
          <w:iCs/>
        </w:rPr>
        <w:t xml:space="preserve">, </w:t>
      </w:r>
      <w:r w:rsidRPr="004E700B">
        <w:rPr>
          <w:b/>
          <w:bCs/>
          <w:iCs/>
        </w:rPr>
        <w:t>neboť u</w:t>
      </w:r>
      <w:r w:rsidR="002331BB" w:rsidRPr="004E700B">
        <w:rPr>
          <w:b/>
          <w:bCs/>
          <w:iCs/>
        </w:rPr>
        <w:t xml:space="preserve"> obyvatel v okolí </w:t>
      </w:r>
      <w:r w:rsidRPr="004E700B">
        <w:rPr>
          <w:b/>
          <w:bCs/>
          <w:iCs/>
        </w:rPr>
        <w:t xml:space="preserve">nelze </w:t>
      </w:r>
      <w:r w:rsidR="002331BB" w:rsidRPr="004E700B">
        <w:rPr>
          <w:b/>
          <w:bCs/>
          <w:iCs/>
        </w:rPr>
        <w:t xml:space="preserve">očekávat </w:t>
      </w:r>
      <w:r w:rsidR="00DB62B8" w:rsidRPr="004E700B">
        <w:rPr>
          <w:b/>
          <w:bCs/>
          <w:iCs/>
        </w:rPr>
        <w:t xml:space="preserve">zhoršení výše popsaných </w:t>
      </w:r>
      <w:r w:rsidR="002331BB" w:rsidRPr="004E700B">
        <w:rPr>
          <w:b/>
          <w:bCs/>
          <w:iCs/>
        </w:rPr>
        <w:t>nepřízniv</w:t>
      </w:r>
      <w:r w:rsidR="00DB62B8" w:rsidRPr="004E700B">
        <w:rPr>
          <w:b/>
          <w:bCs/>
          <w:iCs/>
        </w:rPr>
        <w:t>ých</w:t>
      </w:r>
      <w:r w:rsidR="002331BB" w:rsidRPr="004E700B">
        <w:rPr>
          <w:b/>
          <w:bCs/>
          <w:iCs/>
        </w:rPr>
        <w:t xml:space="preserve"> účink</w:t>
      </w:r>
      <w:r w:rsidR="00DB62B8" w:rsidRPr="004E700B">
        <w:rPr>
          <w:b/>
          <w:bCs/>
          <w:iCs/>
        </w:rPr>
        <w:t>ů hluku.</w:t>
      </w:r>
      <w:r w:rsidR="002331BB" w:rsidRPr="004E700B">
        <w:rPr>
          <w:b/>
          <w:bCs/>
          <w:iCs/>
        </w:rPr>
        <w:t xml:space="preserve">  </w:t>
      </w:r>
    </w:p>
    <w:p w14:paraId="20ED8723" w14:textId="77777777" w:rsidR="00DB62B8" w:rsidRDefault="00DB62B8" w:rsidP="00577965">
      <w:pPr>
        <w:pStyle w:val="Normln1"/>
        <w:ind w:firstLine="0"/>
      </w:pPr>
    </w:p>
    <w:p w14:paraId="752E8CEB" w14:textId="77777777" w:rsidR="00391D60" w:rsidRDefault="00391D60" w:rsidP="00391D60">
      <w:pPr>
        <w:pStyle w:val="Nadpis2"/>
        <w:rPr>
          <w:sz w:val="22"/>
          <w:szCs w:val="22"/>
        </w:rPr>
      </w:pPr>
      <w:r>
        <w:rPr>
          <w:sz w:val="22"/>
          <w:szCs w:val="22"/>
        </w:rPr>
        <w:t>Použitá literatura</w:t>
      </w:r>
    </w:p>
    <w:p w14:paraId="72E48C52" w14:textId="77777777" w:rsidR="00391D60" w:rsidRPr="007D258C" w:rsidRDefault="00391D60" w:rsidP="008A7B08">
      <w:pPr>
        <w:numPr>
          <w:ilvl w:val="1"/>
          <w:numId w:val="9"/>
        </w:numPr>
        <w:ind w:left="360"/>
      </w:pPr>
      <w:r w:rsidRPr="007D258C">
        <w:t>Manuál prevence v lékařské praxi, VIII. Základy hodnocení zdravotních rizik, SZÚ Praha 2000</w:t>
      </w:r>
    </w:p>
    <w:p w14:paraId="44E82551" w14:textId="77777777" w:rsidR="00391D60" w:rsidRPr="007D258C" w:rsidRDefault="00391D60" w:rsidP="008A7B08">
      <w:pPr>
        <w:numPr>
          <w:ilvl w:val="1"/>
          <w:numId w:val="9"/>
        </w:numPr>
        <w:ind w:left="360"/>
      </w:pPr>
      <w:r w:rsidRPr="007D258C">
        <w:t>K.Bláha, M.Cikrt: Základy hodnocení zdravotních rizik, SZÚ Praha 1996</w:t>
      </w:r>
    </w:p>
    <w:p w14:paraId="18EC7443" w14:textId="77777777" w:rsidR="00391D60" w:rsidRPr="007D258C" w:rsidRDefault="00391D60" w:rsidP="008A7B08">
      <w:pPr>
        <w:numPr>
          <w:ilvl w:val="1"/>
          <w:numId w:val="9"/>
        </w:numPr>
        <w:ind w:left="360"/>
      </w:pPr>
      <w:r w:rsidRPr="007D258C">
        <w:t>J.Volf: Metodiky hodnocení zdravotních rizik v hygienické službě, Ostrava 2002</w:t>
      </w:r>
    </w:p>
    <w:p w14:paraId="76FD4991" w14:textId="77777777" w:rsidR="00391D60" w:rsidRPr="007D258C" w:rsidRDefault="00391D60" w:rsidP="008A7B08">
      <w:pPr>
        <w:numPr>
          <w:ilvl w:val="1"/>
          <w:numId w:val="9"/>
        </w:numPr>
        <w:ind w:left="360"/>
      </w:pPr>
      <w:r w:rsidRPr="007D258C">
        <w:t>Havránek J. a kol.: Hluk a zdraví, Avicenum Praha, 1990</w:t>
      </w:r>
    </w:p>
    <w:p w14:paraId="6DFC2786" w14:textId="77777777" w:rsidR="00391D60" w:rsidRPr="007D258C" w:rsidRDefault="00391D60" w:rsidP="008A7B08">
      <w:pPr>
        <w:pStyle w:val="Default"/>
        <w:numPr>
          <w:ilvl w:val="1"/>
          <w:numId w:val="9"/>
        </w:numPr>
        <w:ind w:left="360"/>
        <w:rPr>
          <w:rFonts w:ascii="Times New Roman" w:hAnsi="Times New Roman" w:cs="Times New Roman"/>
        </w:rPr>
      </w:pPr>
      <w:r w:rsidRPr="007D258C">
        <w:rPr>
          <w:rFonts w:ascii="Times New Roman" w:hAnsi="Times New Roman" w:cs="Times New Roman"/>
        </w:rPr>
        <w:t xml:space="preserve">Nařízení vlády č. 272/2011 Sb., o ochraně zdraví před nepříznivými účinky hluku a vibrací </w:t>
      </w:r>
    </w:p>
    <w:p w14:paraId="7D853696" w14:textId="77777777" w:rsidR="00391D60" w:rsidRPr="007D258C" w:rsidRDefault="00391D60" w:rsidP="008A7B08">
      <w:pPr>
        <w:pStyle w:val="Default"/>
        <w:numPr>
          <w:ilvl w:val="1"/>
          <w:numId w:val="9"/>
        </w:numPr>
        <w:ind w:left="360"/>
        <w:rPr>
          <w:rFonts w:ascii="Times New Roman" w:hAnsi="Times New Roman" w:cs="Times New Roman"/>
        </w:rPr>
      </w:pPr>
      <w:r w:rsidRPr="007D258C">
        <w:rPr>
          <w:rFonts w:ascii="Times New Roman" w:hAnsi="Times New Roman" w:cs="Times New Roman"/>
        </w:rPr>
        <w:t>Metodický návod pro hodnocení hluku v chráněném venkovním prostoru staveb, Praha 2010</w:t>
      </w:r>
    </w:p>
    <w:p w14:paraId="7A8C22E2" w14:textId="77777777" w:rsidR="00391D60" w:rsidRPr="007D258C" w:rsidRDefault="00391D60" w:rsidP="008A7B08">
      <w:pPr>
        <w:pStyle w:val="Default"/>
        <w:numPr>
          <w:ilvl w:val="1"/>
          <w:numId w:val="9"/>
        </w:numPr>
        <w:ind w:left="360"/>
        <w:rPr>
          <w:rFonts w:ascii="Times New Roman" w:hAnsi="Times New Roman" w:cs="Times New Roman"/>
        </w:rPr>
      </w:pPr>
      <w:r w:rsidRPr="007D258C">
        <w:rPr>
          <w:rFonts w:ascii="Times New Roman" w:hAnsi="Times New Roman" w:cs="Times New Roman"/>
        </w:rPr>
        <w:t>Metodický návod pro měření a hodnocení hluku v mimopracovním prostředí, Praha 2001</w:t>
      </w:r>
    </w:p>
    <w:p w14:paraId="6D2324D2" w14:textId="77777777" w:rsidR="00391D60" w:rsidRPr="007D258C" w:rsidRDefault="00391D60" w:rsidP="008A7B08">
      <w:pPr>
        <w:numPr>
          <w:ilvl w:val="1"/>
          <w:numId w:val="9"/>
        </w:numPr>
        <w:autoSpaceDE w:val="0"/>
        <w:autoSpaceDN w:val="0"/>
        <w:adjustRightInd w:val="0"/>
        <w:ind w:left="360"/>
        <w:rPr>
          <w:rFonts w:eastAsia="TimesNewRoman"/>
        </w:rPr>
      </w:pPr>
      <w:r w:rsidRPr="007D258C">
        <w:rPr>
          <w:rFonts w:eastAsia="TimesNewRoman"/>
        </w:rPr>
        <w:t>Miedema, HME, Vos H: Noise annoyance from stationary sources: Relationships with exposure metric day–evening-night (DENL) and their confidence intervals, J. Acoust. Soc.Am. 116(1), July 2004</w:t>
      </w:r>
    </w:p>
    <w:p w14:paraId="78487BB4" w14:textId="77777777" w:rsidR="00391D60" w:rsidRPr="007D258C" w:rsidRDefault="00391D60" w:rsidP="008A7B08">
      <w:pPr>
        <w:pStyle w:val="Default"/>
        <w:numPr>
          <w:ilvl w:val="1"/>
          <w:numId w:val="9"/>
        </w:numPr>
        <w:ind w:left="360"/>
        <w:rPr>
          <w:rFonts w:ascii="Times New Roman" w:hAnsi="Times New Roman" w:cs="Times New Roman"/>
        </w:rPr>
      </w:pPr>
      <w:r w:rsidRPr="007D258C">
        <w:rPr>
          <w:rFonts w:ascii="Times New Roman" w:hAnsi="Times New Roman" w:cs="Times New Roman"/>
        </w:rPr>
        <w:t xml:space="preserve">Report „The „Genlyd“ Noise Annoyance Model“, Dose – Response Relationships Modelled by Logistic Functions, Delta AV 1102/07, 20.March 2007 </w:t>
      </w:r>
    </w:p>
    <w:p w14:paraId="0FBEAC7E" w14:textId="77777777" w:rsidR="00391D60" w:rsidRPr="007D258C" w:rsidRDefault="00391D60" w:rsidP="008A7B08">
      <w:pPr>
        <w:numPr>
          <w:ilvl w:val="1"/>
          <w:numId w:val="9"/>
        </w:numPr>
        <w:ind w:left="360"/>
      </w:pPr>
      <w:r w:rsidRPr="007D258C">
        <w:t>Guidelines for Community Noise, WHO Geneva 1999</w:t>
      </w:r>
    </w:p>
    <w:p w14:paraId="20EC1A3E" w14:textId="77777777" w:rsidR="00391D60" w:rsidRPr="007D258C" w:rsidRDefault="00391D60" w:rsidP="008A7B08">
      <w:pPr>
        <w:numPr>
          <w:ilvl w:val="1"/>
          <w:numId w:val="9"/>
        </w:numPr>
        <w:ind w:left="360"/>
      </w:pPr>
      <w:r w:rsidRPr="007D258C">
        <w:t xml:space="preserve">WHO: Night Noise Guidelines for Europe, 2009 </w:t>
      </w:r>
    </w:p>
    <w:p w14:paraId="1CB78668" w14:textId="77777777" w:rsidR="00391D60" w:rsidRPr="007D258C" w:rsidRDefault="00391D60" w:rsidP="008A7B08">
      <w:pPr>
        <w:numPr>
          <w:ilvl w:val="1"/>
          <w:numId w:val="9"/>
        </w:numPr>
        <w:ind w:left="360"/>
      </w:pPr>
      <w:r w:rsidRPr="007D258C">
        <w:t>Miedema H.M.E., Vos H.: Noise annoyance from stationary sources, 2004</w:t>
      </w:r>
    </w:p>
    <w:p w14:paraId="47ABFB01" w14:textId="77777777" w:rsidR="00391D60" w:rsidRPr="007D258C" w:rsidRDefault="00391D60" w:rsidP="008A7B08">
      <w:pPr>
        <w:pStyle w:val="Default"/>
        <w:numPr>
          <w:ilvl w:val="1"/>
          <w:numId w:val="9"/>
        </w:numPr>
        <w:ind w:left="360"/>
        <w:rPr>
          <w:rFonts w:ascii="Times New Roman" w:hAnsi="Times New Roman" w:cs="Times New Roman"/>
        </w:rPr>
      </w:pPr>
      <w:r w:rsidRPr="007D258C">
        <w:rPr>
          <w:rFonts w:ascii="Times New Roman" w:hAnsi="Times New Roman" w:cs="Times New Roman"/>
        </w:rPr>
        <w:t xml:space="preserve">Report „The „Genlyd“ Noise Annoyance Model“, Dose – Response Relationships Modelled by Logistic Functions, Delta AV 1102/07, 20.March 2007 </w:t>
      </w:r>
    </w:p>
    <w:p w14:paraId="2BC92A2F" w14:textId="77777777" w:rsidR="00391D60" w:rsidRPr="007D258C" w:rsidRDefault="00391D60" w:rsidP="008A7B08">
      <w:pPr>
        <w:numPr>
          <w:ilvl w:val="1"/>
          <w:numId w:val="9"/>
        </w:numPr>
        <w:ind w:left="360"/>
      </w:pPr>
      <w:r w:rsidRPr="007D258C">
        <w:t>Guidelines for Community Noise, WHO Geneva 1999</w:t>
      </w:r>
    </w:p>
    <w:p w14:paraId="1E024A08" w14:textId="77777777" w:rsidR="00391D60" w:rsidRPr="007D258C" w:rsidRDefault="00391D60" w:rsidP="008A7B08">
      <w:pPr>
        <w:numPr>
          <w:ilvl w:val="1"/>
          <w:numId w:val="9"/>
        </w:numPr>
        <w:ind w:left="360"/>
      </w:pPr>
      <w:r w:rsidRPr="007D258C">
        <w:t>Autorizační návod AN 15/04, verze 3 SZÚ Praha 2012</w:t>
      </w:r>
    </w:p>
    <w:p w14:paraId="58DECA07" w14:textId="77777777" w:rsidR="00391D60" w:rsidRPr="007D258C" w:rsidRDefault="00391D60" w:rsidP="008A7B08">
      <w:pPr>
        <w:numPr>
          <w:ilvl w:val="1"/>
          <w:numId w:val="9"/>
        </w:numPr>
        <w:autoSpaceDE w:val="0"/>
        <w:autoSpaceDN w:val="0"/>
        <w:adjustRightInd w:val="0"/>
        <w:ind w:left="360"/>
        <w:rPr>
          <w:rFonts w:eastAsia="TimesNewRoman"/>
        </w:rPr>
      </w:pPr>
      <w:r w:rsidRPr="007D258C">
        <w:rPr>
          <w:rFonts w:eastAsia="TimesNewRoman"/>
        </w:rPr>
        <w:t xml:space="preserve">Babisch,W.: Transportation noise and cardiovascular risk: Updated Review and synthesis </w:t>
      </w:r>
    </w:p>
    <w:p w14:paraId="75F9666D" w14:textId="77777777" w:rsidR="00391D60" w:rsidRPr="007D258C" w:rsidRDefault="00391D60" w:rsidP="00391D60">
      <w:pPr>
        <w:autoSpaceDE w:val="0"/>
        <w:autoSpaceDN w:val="0"/>
        <w:adjustRightInd w:val="0"/>
        <w:ind w:left="360"/>
      </w:pPr>
      <w:r w:rsidRPr="007D258C">
        <w:rPr>
          <w:rFonts w:eastAsia="TimesNewRoman"/>
        </w:rPr>
        <w:t>of epidemiological studies indicate that the evidence has increased. Noise Health 2006,</w:t>
      </w:r>
      <w:r w:rsidRPr="007D258C">
        <w:t xml:space="preserve"> </w:t>
      </w:r>
    </w:p>
    <w:p w14:paraId="7BDB5569" w14:textId="77777777" w:rsidR="00391D60" w:rsidRPr="007D258C" w:rsidRDefault="00391D60" w:rsidP="008A7B08">
      <w:pPr>
        <w:numPr>
          <w:ilvl w:val="1"/>
          <w:numId w:val="9"/>
        </w:numPr>
        <w:autoSpaceDE w:val="0"/>
        <w:autoSpaceDN w:val="0"/>
        <w:adjustRightInd w:val="0"/>
        <w:ind w:left="360"/>
      </w:pPr>
      <w:r w:rsidRPr="007D258C">
        <w:t xml:space="preserve">Jarup L., Babisch W., Houthuijs D., Pershagen G., Katsouyanni K., Cadum E., et al.: </w:t>
      </w:r>
    </w:p>
    <w:p w14:paraId="28689A0D" w14:textId="77777777" w:rsidR="00391D60" w:rsidRPr="007D258C" w:rsidRDefault="00391D60" w:rsidP="00391D60">
      <w:pPr>
        <w:pStyle w:val="Default"/>
        <w:ind w:left="360"/>
        <w:rPr>
          <w:rFonts w:ascii="Times New Roman" w:hAnsi="Times New Roman" w:cs="Times New Roman"/>
        </w:rPr>
      </w:pPr>
      <w:r w:rsidRPr="007D258C">
        <w:rPr>
          <w:rFonts w:ascii="Times New Roman" w:hAnsi="Times New Roman" w:cs="Times New Roman"/>
        </w:rPr>
        <w:t>Hypertension and Exposure to Noise Near Airports: the HYENA Study, Environ. Health Perspectives, 2008</w:t>
      </w:r>
    </w:p>
    <w:p w14:paraId="4FEAB6C5" w14:textId="77777777" w:rsidR="00391D60" w:rsidRPr="007D258C" w:rsidRDefault="00391D60" w:rsidP="008A7B08">
      <w:pPr>
        <w:numPr>
          <w:ilvl w:val="1"/>
          <w:numId w:val="9"/>
        </w:numPr>
        <w:ind w:left="360"/>
      </w:pPr>
      <w:r w:rsidRPr="007D258C">
        <w:t>SZÚ Praha Systém monitorování zdravotního stavu obyvatelstva ve vztahu k životnímu prostředí – subsystém 3 „Zdravotní důsledky a rušivé účinky hluku – odborná zpráva za rok 201</w:t>
      </w:r>
      <w:r>
        <w:t>4</w:t>
      </w:r>
      <w:r w:rsidRPr="007D258C">
        <w:t>, SZÚ Praha</w:t>
      </w:r>
    </w:p>
    <w:p w14:paraId="7A72796E" w14:textId="77777777" w:rsidR="00391D60" w:rsidRPr="007D258C" w:rsidRDefault="00391D60" w:rsidP="008A7B08">
      <w:pPr>
        <w:numPr>
          <w:ilvl w:val="1"/>
          <w:numId w:val="9"/>
        </w:numPr>
        <w:ind w:left="360"/>
      </w:pPr>
      <w:r w:rsidRPr="007D258C">
        <w:t>Metodický pokyn odboru ekologických rizik a monitoringu MŽP ČR k hodnocení rizik č.j. 1138/OER/94</w:t>
      </w:r>
    </w:p>
    <w:p w14:paraId="14A9774F" w14:textId="77777777" w:rsidR="00391D60" w:rsidRPr="007D258C" w:rsidRDefault="00391D60" w:rsidP="008A7B08">
      <w:pPr>
        <w:numPr>
          <w:ilvl w:val="1"/>
          <w:numId w:val="9"/>
        </w:numPr>
        <w:autoSpaceDE w:val="0"/>
        <w:autoSpaceDN w:val="0"/>
        <w:adjustRightInd w:val="0"/>
        <w:ind w:left="360"/>
        <w:jc w:val="both"/>
      </w:pPr>
      <w:r w:rsidRPr="007D258C">
        <w:t>European Environment Agency: Good practice guide on noise exposure and potential health effects, 2010</w:t>
      </w:r>
    </w:p>
    <w:p w14:paraId="4452DF66" w14:textId="77777777" w:rsidR="00391D60" w:rsidRPr="007D258C" w:rsidRDefault="00391D60" w:rsidP="008A7B08">
      <w:pPr>
        <w:numPr>
          <w:ilvl w:val="1"/>
          <w:numId w:val="9"/>
        </w:numPr>
        <w:autoSpaceDE w:val="0"/>
        <w:autoSpaceDN w:val="0"/>
        <w:adjustRightInd w:val="0"/>
        <w:ind w:left="360"/>
        <w:jc w:val="both"/>
      </w:pPr>
      <w:r w:rsidRPr="007D258C">
        <w:rPr>
          <w:color w:val="000000"/>
        </w:rPr>
        <w:t>Münzel T., Gori T., Babisch W. Basner M.: Cardiovascular effects of envirinmental noise exposure, European Heart Journal, 2014</w:t>
      </w:r>
    </w:p>
    <w:p w14:paraId="3A5133C2" w14:textId="77777777" w:rsidR="00391D60" w:rsidRDefault="00391D60" w:rsidP="00391D60">
      <w:pPr>
        <w:jc w:val="both"/>
        <w:rPr>
          <w:sz w:val="22"/>
          <w:szCs w:val="22"/>
        </w:rPr>
      </w:pPr>
    </w:p>
    <w:p w14:paraId="0E9B6699" w14:textId="778D29AB" w:rsidR="00404105" w:rsidRDefault="00DB62B8" w:rsidP="00DB62B8">
      <w:pPr>
        <w:spacing w:line="278" w:lineRule="exact"/>
      </w:pPr>
      <w:r>
        <w:t>P</w:t>
      </w:r>
      <w:r w:rsidR="00391D60" w:rsidRPr="00C37040">
        <w:t>oznámka: Protokol nesmí být bez písemného souhlasu zpracovatele reprodukován jinak než celý.</w:t>
      </w:r>
      <w:r w:rsidR="00391D60">
        <w:t xml:space="preserve"> </w:t>
      </w:r>
    </w:p>
    <w:p w14:paraId="15357F28" w14:textId="2120DBB5" w:rsidR="00345FBD" w:rsidRDefault="00345FBD" w:rsidP="00DB62B8">
      <w:pPr>
        <w:spacing w:line="278" w:lineRule="exact"/>
        <w:rPr>
          <w:b/>
          <w:sz w:val="22"/>
          <w:szCs w:val="22"/>
        </w:rPr>
      </w:pPr>
      <w:r>
        <w:rPr>
          <w:b/>
          <w:noProof/>
          <w:sz w:val="22"/>
          <w:szCs w:val="22"/>
        </w:rPr>
        <w:lastRenderedPageBreak/>
        <w:drawing>
          <wp:anchor distT="0" distB="0" distL="114300" distR="114300" simplePos="0" relativeHeight="251662336" behindDoc="1" locked="0" layoutInCell="1" allowOverlap="1" wp14:anchorId="381AB359" wp14:editId="26ABC5EA">
            <wp:simplePos x="0" y="0"/>
            <wp:positionH relativeFrom="column">
              <wp:posOffset>-262890</wp:posOffset>
            </wp:positionH>
            <wp:positionV relativeFrom="paragraph">
              <wp:posOffset>-132080</wp:posOffset>
            </wp:positionV>
            <wp:extent cx="6233795" cy="8658225"/>
            <wp:effectExtent l="0" t="0" r="0" b="9525"/>
            <wp:wrapTight wrapText="bothSides">
              <wp:wrapPolygon edited="0">
                <wp:start x="0" y="0"/>
                <wp:lineTo x="0" y="21576"/>
                <wp:lineTo x="21519" y="21576"/>
                <wp:lineTo x="2151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vědčení 2015 001.jpg"/>
                    <pic:cNvPicPr/>
                  </pic:nvPicPr>
                  <pic:blipFill>
                    <a:blip r:embed="rId9">
                      <a:extLst>
                        <a:ext uri="{28A0092B-C50C-407E-A947-70E740481C1C}">
                          <a14:useLocalDpi xmlns:a14="http://schemas.microsoft.com/office/drawing/2010/main" val="0"/>
                        </a:ext>
                      </a:extLst>
                    </a:blip>
                    <a:stretch>
                      <a:fillRect/>
                    </a:stretch>
                  </pic:blipFill>
                  <pic:spPr>
                    <a:xfrm>
                      <a:off x="0" y="0"/>
                      <a:ext cx="6233795" cy="8658225"/>
                    </a:xfrm>
                    <a:prstGeom prst="rect">
                      <a:avLst/>
                    </a:prstGeom>
                  </pic:spPr>
                </pic:pic>
              </a:graphicData>
            </a:graphic>
            <wp14:sizeRelH relativeFrom="page">
              <wp14:pctWidth>0</wp14:pctWidth>
            </wp14:sizeRelH>
            <wp14:sizeRelV relativeFrom="page">
              <wp14:pctHeight>0</wp14:pctHeight>
            </wp14:sizeRelV>
          </wp:anchor>
        </w:drawing>
      </w:r>
    </w:p>
    <w:sectPr w:rsidR="00345FBD" w:rsidSect="006379BD">
      <w:headerReference w:type="default" r:id="rId10"/>
      <w:footerReference w:type="default" r:id="rId11"/>
      <w:pgSz w:w="11906" w:h="16838" w:code="9"/>
      <w:pgMar w:top="1670" w:right="128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8686B" w14:textId="77777777" w:rsidR="007E04D7" w:rsidRDefault="007E04D7">
      <w:r>
        <w:separator/>
      </w:r>
    </w:p>
  </w:endnote>
  <w:endnote w:type="continuationSeparator" w:id="0">
    <w:p w14:paraId="27AA6287" w14:textId="77777777" w:rsidR="007E04D7" w:rsidRDefault="007E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EE"/>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tučné">
    <w:panose1 w:val="00000000000000000000"/>
    <w:charset w:val="00"/>
    <w:family w:val="roman"/>
    <w:notTrueType/>
    <w:pitch w:val="default"/>
  </w:font>
  <w:font w:name="TimesNewRomanPSMT">
    <w:altName w:val="MS Mincho"/>
    <w:panose1 w:val="00000000000000000000"/>
    <w:charset w:val="80"/>
    <w:family w:val="auto"/>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1C533" w14:textId="2EE509E8" w:rsidR="00B25123" w:rsidRDefault="00B25123" w:rsidP="00756EEF">
    <w:pPr>
      <w:pStyle w:val="Zkladntextodsazen2"/>
      <w:ind w:left="0" w:firstLine="0"/>
    </w:pPr>
    <w:r>
      <w:tab/>
    </w:r>
    <w:r>
      <w:tab/>
    </w:r>
    <w:r>
      <w:tab/>
    </w:r>
    <w:r>
      <w:tab/>
    </w:r>
    <w:r>
      <w:tab/>
    </w:r>
    <w:r>
      <w:tab/>
    </w:r>
    <w:r>
      <w:tab/>
    </w:r>
    <w:r>
      <w:tab/>
    </w:r>
    <w:r>
      <w:tab/>
      <w:t xml:space="preserve">Strana </w:t>
    </w:r>
    <w:r>
      <w:fldChar w:fldCharType="begin"/>
    </w:r>
    <w:r>
      <w:instrText xml:space="preserve"> PAGE </w:instrText>
    </w:r>
    <w:r>
      <w:fldChar w:fldCharType="separate"/>
    </w:r>
    <w:r w:rsidR="00FB0E46">
      <w:rPr>
        <w:noProof/>
      </w:rPr>
      <w:t>1</w:t>
    </w:r>
    <w:r>
      <w:fldChar w:fldCharType="end"/>
    </w:r>
    <w:r>
      <w:t xml:space="preserve"> (celkem </w:t>
    </w:r>
    <w:r w:rsidR="00FB0E46">
      <w:fldChar w:fldCharType="begin"/>
    </w:r>
    <w:r w:rsidR="00FB0E46">
      <w:instrText xml:space="preserve"> NUMPAGES </w:instrText>
    </w:r>
    <w:r w:rsidR="00FB0E46">
      <w:fldChar w:fldCharType="separate"/>
    </w:r>
    <w:r w:rsidR="00FB0E46">
      <w:rPr>
        <w:noProof/>
      </w:rPr>
      <w:t>16</w:t>
    </w:r>
    <w:r w:rsidR="00FB0E46">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24C9A" w14:textId="77777777" w:rsidR="007E04D7" w:rsidRDefault="007E04D7">
      <w:r>
        <w:separator/>
      </w:r>
    </w:p>
  </w:footnote>
  <w:footnote w:type="continuationSeparator" w:id="0">
    <w:p w14:paraId="636C7ECD" w14:textId="77777777" w:rsidR="007E04D7" w:rsidRDefault="007E0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8944D" w14:textId="013D6721" w:rsidR="00B25123" w:rsidRDefault="00B25123">
    <w:r>
      <w:tab/>
      <w:t xml:space="preserve">                                                                                               Hodnocení zdravotních rizik</w:t>
    </w:r>
  </w:p>
  <w:p w14:paraId="62EE15D4" w14:textId="354F3920" w:rsidR="00B25123" w:rsidRPr="00A476B2" w:rsidRDefault="00B25123" w:rsidP="00A476B2">
    <w:pPr>
      <w:rPr>
        <w:rFonts w:cs="Arial"/>
        <w:szCs w:val="22"/>
      </w:rPr>
    </w:pPr>
    <w:r>
      <w:rPr>
        <w:bCs/>
        <w:iCs/>
      </w:rPr>
      <w:t xml:space="preserve">     </w:t>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 xml:space="preserve">          </w:t>
    </w:r>
    <w:r w:rsidRPr="001E5226">
      <w:t>SG Častolovice</w:t>
    </w:r>
  </w:p>
  <w:p w14:paraId="62C85E46" w14:textId="77777777" w:rsidR="00B25123" w:rsidRPr="00425A13" w:rsidRDefault="00B25123" w:rsidP="00425A13">
    <w:pPr>
      <w:pStyle w:val="Normln1"/>
      <w:jc w:val="center"/>
      <w:rPr>
        <w:bCs/>
      </w:rPr>
    </w:pPr>
  </w:p>
  <w:p w14:paraId="3BD591BA" w14:textId="77777777" w:rsidR="00B25123" w:rsidRPr="00774EE5" w:rsidRDefault="00B25123" w:rsidP="00425A13">
    <w:pPr>
      <w:ind w:left="3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11CD586"/>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0DA51925"/>
    <w:multiLevelType w:val="hybridMultilevel"/>
    <w:tmpl w:val="ABBE2150"/>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22E3164"/>
    <w:multiLevelType w:val="hybridMultilevel"/>
    <w:tmpl w:val="A4C235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5B16C87"/>
    <w:multiLevelType w:val="hybridMultilevel"/>
    <w:tmpl w:val="0A0A7AF0"/>
    <w:lvl w:ilvl="0" w:tplc="943EA6FE">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6A447E0"/>
    <w:multiLevelType w:val="singleLevel"/>
    <w:tmpl w:val="BE126DBC"/>
    <w:lvl w:ilvl="0">
      <w:start w:val="1"/>
      <w:numFmt w:val="lowerLetter"/>
      <w:pStyle w:val="slovanodrka"/>
      <w:lvlText w:val="%1)"/>
      <w:lvlJc w:val="left"/>
      <w:pPr>
        <w:tabs>
          <w:tab w:val="num" w:pos="360"/>
        </w:tabs>
        <w:ind w:left="360" w:hanging="360"/>
      </w:pPr>
    </w:lvl>
  </w:abstractNum>
  <w:abstractNum w:abstractNumId="5" w15:restartNumberingAfterBreak="0">
    <w:nsid w:val="1D4E7704"/>
    <w:multiLevelType w:val="hybridMultilevel"/>
    <w:tmpl w:val="8DE652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23170E1"/>
    <w:multiLevelType w:val="hybridMultilevel"/>
    <w:tmpl w:val="5058C89E"/>
    <w:lvl w:ilvl="0" w:tplc="1614710C">
      <w:start w:val="1"/>
      <w:numFmt w:val="decimal"/>
      <w:pStyle w:val="TitulekTAB"/>
      <w:lvlText w:val="Tab.%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34D6D6D"/>
    <w:multiLevelType w:val="hybridMultilevel"/>
    <w:tmpl w:val="E0C44204"/>
    <w:lvl w:ilvl="0" w:tplc="0405000F">
      <w:start w:val="1"/>
      <w:numFmt w:val="decimal"/>
      <w:pStyle w:val="slovanseznam"/>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DA4297"/>
    <w:multiLevelType w:val="multilevel"/>
    <w:tmpl w:val="BFC0B370"/>
    <w:lvl w:ilvl="0">
      <w:start w:val="1"/>
      <w:numFmt w:val="decimal"/>
      <w:pStyle w:val="Nzevtabulky"/>
      <w:lvlText w:val="Tabulka č.%1"/>
      <w:lvlJc w:val="left"/>
      <w:pPr>
        <w:tabs>
          <w:tab w:val="num" w:pos="2880"/>
        </w:tabs>
        <w:ind w:left="108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79D7D11"/>
    <w:multiLevelType w:val="hybridMultilevel"/>
    <w:tmpl w:val="B3D20D6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2AB47C1A"/>
    <w:multiLevelType w:val="multilevel"/>
    <w:tmpl w:val="093A3AB0"/>
    <w:lvl w:ilvl="0">
      <w:start w:val="1"/>
      <w:numFmt w:val="decimal"/>
      <w:lvlText w:val="%1."/>
      <w:lvlJc w:val="left"/>
      <w:pPr>
        <w:ind w:left="720" w:hanging="360"/>
      </w:pPr>
    </w:lvl>
    <w:lvl w:ilvl="1">
      <w:start w:val="2"/>
      <w:numFmt w:val="decimal"/>
      <w:isLgl/>
      <w:lvlText w:val="%1.%2"/>
      <w:lvlJc w:val="left"/>
      <w:pPr>
        <w:ind w:left="1065" w:hanging="705"/>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1" w15:restartNumberingAfterBreak="0">
    <w:nsid w:val="2B5B06D8"/>
    <w:multiLevelType w:val="hybridMultilevel"/>
    <w:tmpl w:val="2F60C14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DA1246B"/>
    <w:multiLevelType w:val="multilevel"/>
    <w:tmpl w:val="869CB27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959E0"/>
    <w:multiLevelType w:val="hybridMultilevel"/>
    <w:tmpl w:val="59E88E46"/>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731CAF"/>
    <w:multiLevelType w:val="hybridMultilevel"/>
    <w:tmpl w:val="712E588E"/>
    <w:lvl w:ilvl="0" w:tplc="334C4C7A">
      <w:numFmt w:val="bullet"/>
      <w:lvlText w:val="-"/>
      <w:lvlJc w:val="left"/>
      <w:pPr>
        <w:ind w:left="720" w:hanging="360"/>
      </w:pPr>
      <w:rPr>
        <w:rFonts w:ascii="Times New Roman" w:eastAsia="Lucida Sans Unicode"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BF0343"/>
    <w:multiLevelType w:val="hybridMultilevel"/>
    <w:tmpl w:val="682CE952"/>
    <w:lvl w:ilvl="0" w:tplc="04050001">
      <w:start w:val="1"/>
      <w:numFmt w:val="bullet"/>
      <w:lvlText w:val=""/>
      <w:lvlJc w:val="left"/>
      <w:pPr>
        <w:ind w:left="720" w:hanging="360"/>
      </w:pPr>
      <w:rPr>
        <w:rFonts w:ascii="Symbol" w:hAnsi="Symbol" w:hint="default"/>
      </w:rPr>
    </w:lvl>
    <w:lvl w:ilvl="1" w:tplc="AAF63C7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04C4F"/>
    <w:multiLevelType w:val="hybridMultilevel"/>
    <w:tmpl w:val="6EC630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4E00C36"/>
    <w:multiLevelType w:val="hybridMultilevel"/>
    <w:tmpl w:val="1FC64D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780516"/>
    <w:multiLevelType w:val="hybridMultilevel"/>
    <w:tmpl w:val="B55AE1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3CE3528"/>
    <w:multiLevelType w:val="hybridMultilevel"/>
    <w:tmpl w:val="1EC27C9E"/>
    <w:lvl w:ilvl="0" w:tplc="04050001">
      <w:start w:val="1"/>
      <w:numFmt w:val="bullet"/>
      <w:lvlText w:val=""/>
      <w:lvlJc w:val="left"/>
      <w:pPr>
        <w:ind w:left="218" w:hanging="360"/>
      </w:pPr>
      <w:rPr>
        <w:rFonts w:ascii="Symbol" w:hAnsi="Symbol"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20" w15:restartNumberingAfterBreak="0">
    <w:nsid w:val="64002FF7"/>
    <w:multiLevelType w:val="hybridMultilevel"/>
    <w:tmpl w:val="D5D25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046B69"/>
    <w:multiLevelType w:val="hybridMultilevel"/>
    <w:tmpl w:val="D59C611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9040B77"/>
    <w:multiLevelType w:val="hybridMultilevel"/>
    <w:tmpl w:val="C3261BCE"/>
    <w:lvl w:ilvl="0" w:tplc="6636B244">
      <w:start w:val="1"/>
      <w:numFmt w:val="decimal"/>
      <w:lvlText w:val="%1."/>
      <w:lvlJc w:val="left"/>
      <w:pPr>
        <w:ind w:left="720" w:hanging="360"/>
      </w:pPr>
      <w:rPr>
        <w:rFonts w:hint="default"/>
      </w:rPr>
    </w:lvl>
    <w:lvl w:ilvl="1" w:tplc="7B1C5BF4" w:tentative="1">
      <w:start w:val="1"/>
      <w:numFmt w:val="lowerLetter"/>
      <w:lvlText w:val="%2."/>
      <w:lvlJc w:val="left"/>
      <w:pPr>
        <w:ind w:left="1440" w:hanging="360"/>
      </w:pPr>
    </w:lvl>
    <w:lvl w:ilvl="2" w:tplc="3B5A765A" w:tentative="1">
      <w:start w:val="1"/>
      <w:numFmt w:val="lowerRoman"/>
      <w:lvlText w:val="%3."/>
      <w:lvlJc w:val="right"/>
      <w:pPr>
        <w:ind w:left="2160" w:hanging="180"/>
      </w:pPr>
    </w:lvl>
    <w:lvl w:ilvl="3" w:tplc="E0A0E61E" w:tentative="1">
      <w:start w:val="1"/>
      <w:numFmt w:val="decimal"/>
      <w:lvlText w:val="%4."/>
      <w:lvlJc w:val="left"/>
      <w:pPr>
        <w:ind w:left="2880" w:hanging="360"/>
      </w:pPr>
    </w:lvl>
    <w:lvl w:ilvl="4" w:tplc="CFCEAFBC" w:tentative="1">
      <w:start w:val="1"/>
      <w:numFmt w:val="lowerLetter"/>
      <w:lvlText w:val="%5."/>
      <w:lvlJc w:val="left"/>
      <w:pPr>
        <w:ind w:left="3600" w:hanging="360"/>
      </w:pPr>
    </w:lvl>
    <w:lvl w:ilvl="5" w:tplc="751882F2" w:tentative="1">
      <w:start w:val="1"/>
      <w:numFmt w:val="lowerRoman"/>
      <w:lvlText w:val="%6."/>
      <w:lvlJc w:val="right"/>
      <w:pPr>
        <w:ind w:left="4320" w:hanging="180"/>
      </w:pPr>
    </w:lvl>
    <w:lvl w:ilvl="6" w:tplc="0FA2341E" w:tentative="1">
      <w:start w:val="1"/>
      <w:numFmt w:val="decimal"/>
      <w:lvlText w:val="%7."/>
      <w:lvlJc w:val="left"/>
      <w:pPr>
        <w:ind w:left="5040" w:hanging="360"/>
      </w:pPr>
    </w:lvl>
    <w:lvl w:ilvl="7" w:tplc="A8E84AF2" w:tentative="1">
      <w:start w:val="1"/>
      <w:numFmt w:val="lowerLetter"/>
      <w:lvlText w:val="%8."/>
      <w:lvlJc w:val="left"/>
      <w:pPr>
        <w:ind w:left="5760" w:hanging="360"/>
      </w:pPr>
    </w:lvl>
    <w:lvl w:ilvl="8" w:tplc="80C23B04" w:tentative="1">
      <w:start w:val="1"/>
      <w:numFmt w:val="lowerRoman"/>
      <w:lvlText w:val="%9."/>
      <w:lvlJc w:val="right"/>
      <w:pPr>
        <w:ind w:left="6480" w:hanging="180"/>
      </w:pPr>
    </w:lvl>
  </w:abstractNum>
  <w:abstractNum w:abstractNumId="23" w15:restartNumberingAfterBreak="0">
    <w:nsid w:val="6CDC7D2A"/>
    <w:multiLevelType w:val="hybridMultilevel"/>
    <w:tmpl w:val="CBEA596A"/>
    <w:lvl w:ilvl="0" w:tplc="DE2A9B18">
      <w:start w:val="1"/>
      <w:numFmt w:val="bullet"/>
      <w:lvlText w:val=""/>
      <w:lvlJc w:val="left"/>
      <w:pPr>
        <w:tabs>
          <w:tab w:val="num" w:pos="360"/>
        </w:tabs>
        <w:ind w:left="360" w:hanging="360"/>
      </w:pPr>
      <w:rPr>
        <w:rFonts w:ascii="Symbol" w:hAnsi="Symbol" w:hint="default"/>
      </w:rPr>
    </w:lvl>
    <w:lvl w:ilvl="1" w:tplc="6F50CA12" w:tentative="1">
      <w:start w:val="1"/>
      <w:numFmt w:val="bullet"/>
      <w:lvlText w:val="o"/>
      <w:lvlJc w:val="left"/>
      <w:pPr>
        <w:tabs>
          <w:tab w:val="num" w:pos="1080"/>
        </w:tabs>
        <w:ind w:left="1080" w:hanging="360"/>
      </w:pPr>
      <w:rPr>
        <w:rFonts w:ascii="Courier New" w:hAnsi="Courier New" w:cs="Courier New" w:hint="default"/>
      </w:rPr>
    </w:lvl>
    <w:lvl w:ilvl="2" w:tplc="CF349FBC" w:tentative="1">
      <w:start w:val="1"/>
      <w:numFmt w:val="bullet"/>
      <w:lvlText w:val=""/>
      <w:lvlJc w:val="left"/>
      <w:pPr>
        <w:tabs>
          <w:tab w:val="num" w:pos="1800"/>
        </w:tabs>
        <w:ind w:left="1800" w:hanging="360"/>
      </w:pPr>
      <w:rPr>
        <w:rFonts w:ascii="Wingdings" w:hAnsi="Wingdings" w:hint="default"/>
      </w:rPr>
    </w:lvl>
    <w:lvl w:ilvl="3" w:tplc="5EFA1EF6" w:tentative="1">
      <w:start w:val="1"/>
      <w:numFmt w:val="bullet"/>
      <w:lvlText w:val=""/>
      <w:lvlJc w:val="left"/>
      <w:pPr>
        <w:tabs>
          <w:tab w:val="num" w:pos="2520"/>
        </w:tabs>
        <w:ind w:left="2520" w:hanging="360"/>
      </w:pPr>
      <w:rPr>
        <w:rFonts w:ascii="Symbol" w:hAnsi="Symbol" w:hint="default"/>
      </w:rPr>
    </w:lvl>
    <w:lvl w:ilvl="4" w:tplc="11C63B6C" w:tentative="1">
      <w:start w:val="1"/>
      <w:numFmt w:val="bullet"/>
      <w:lvlText w:val="o"/>
      <w:lvlJc w:val="left"/>
      <w:pPr>
        <w:tabs>
          <w:tab w:val="num" w:pos="3240"/>
        </w:tabs>
        <w:ind w:left="3240" w:hanging="360"/>
      </w:pPr>
      <w:rPr>
        <w:rFonts w:ascii="Courier New" w:hAnsi="Courier New" w:cs="Courier New" w:hint="default"/>
      </w:rPr>
    </w:lvl>
    <w:lvl w:ilvl="5" w:tplc="11288914" w:tentative="1">
      <w:start w:val="1"/>
      <w:numFmt w:val="bullet"/>
      <w:lvlText w:val=""/>
      <w:lvlJc w:val="left"/>
      <w:pPr>
        <w:tabs>
          <w:tab w:val="num" w:pos="3960"/>
        </w:tabs>
        <w:ind w:left="3960" w:hanging="360"/>
      </w:pPr>
      <w:rPr>
        <w:rFonts w:ascii="Wingdings" w:hAnsi="Wingdings" w:hint="default"/>
      </w:rPr>
    </w:lvl>
    <w:lvl w:ilvl="6" w:tplc="621410EA" w:tentative="1">
      <w:start w:val="1"/>
      <w:numFmt w:val="bullet"/>
      <w:lvlText w:val=""/>
      <w:lvlJc w:val="left"/>
      <w:pPr>
        <w:tabs>
          <w:tab w:val="num" w:pos="4680"/>
        </w:tabs>
        <w:ind w:left="4680" w:hanging="360"/>
      </w:pPr>
      <w:rPr>
        <w:rFonts w:ascii="Symbol" w:hAnsi="Symbol" w:hint="default"/>
      </w:rPr>
    </w:lvl>
    <w:lvl w:ilvl="7" w:tplc="5484CF34" w:tentative="1">
      <w:start w:val="1"/>
      <w:numFmt w:val="bullet"/>
      <w:lvlText w:val="o"/>
      <w:lvlJc w:val="left"/>
      <w:pPr>
        <w:tabs>
          <w:tab w:val="num" w:pos="5400"/>
        </w:tabs>
        <w:ind w:left="5400" w:hanging="360"/>
      </w:pPr>
      <w:rPr>
        <w:rFonts w:ascii="Courier New" w:hAnsi="Courier New" w:cs="Courier New" w:hint="default"/>
      </w:rPr>
    </w:lvl>
    <w:lvl w:ilvl="8" w:tplc="AB36D472"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2C5C02"/>
    <w:multiLevelType w:val="hybridMultilevel"/>
    <w:tmpl w:val="140A3A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30425C0"/>
    <w:multiLevelType w:val="hybridMultilevel"/>
    <w:tmpl w:val="39A6F5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545290E"/>
    <w:multiLevelType w:val="hybridMultilevel"/>
    <w:tmpl w:val="BB0E9E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7F360148"/>
    <w:multiLevelType w:val="hybridMultilevel"/>
    <w:tmpl w:val="EB10472E"/>
    <w:lvl w:ilvl="0" w:tplc="0405000F">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8" w15:restartNumberingAfterBreak="0">
    <w:nsid w:val="7FD445BA"/>
    <w:multiLevelType w:val="multilevel"/>
    <w:tmpl w:val="4442FD4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3"/>
  </w:num>
  <w:num w:numId="3">
    <w:abstractNumId w:val="0"/>
  </w:num>
  <w:num w:numId="4">
    <w:abstractNumId w:val="7"/>
  </w:num>
  <w:num w:numId="5">
    <w:abstractNumId w:val="22"/>
  </w:num>
  <w:num w:numId="6">
    <w:abstractNumId w:val="18"/>
  </w:num>
  <w:num w:numId="7">
    <w:abstractNumId w:val="4"/>
  </w:num>
  <w:num w:numId="8">
    <w:abstractNumId w:val="27"/>
  </w:num>
  <w:num w:numId="9">
    <w:abstractNumId w:val="13"/>
  </w:num>
  <w:num w:numId="10">
    <w:abstractNumId w:val="17"/>
  </w:num>
  <w:num w:numId="11">
    <w:abstractNumId w:val="3"/>
  </w:num>
  <w:num w:numId="12">
    <w:abstractNumId w:val="6"/>
  </w:num>
  <w:num w:numId="13">
    <w:abstractNumId w:val="10"/>
  </w:num>
  <w:num w:numId="14">
    <w:abstractNumId w:val="19"/>
  </w:num>
  <w:num w:numId="15">
    <w:abstractNumId w:val="9"/>
  </w:num>
  <w:num w:numId="16">
    <w:abstractNumId w:val="12"/>
  </w:num>
  <w:num w:numId="17">
    <w:abstractNumId w:val="15"/>
  </w:num>
  <w:num w:numId="18">
    <w:abstractNumId w:val="24"/>
  </w:num>
  <w:num w:numId="19">
    <w:abstractNumId w:val="2"/>
  </w:num>
  <w:num w:numId="20">
    <w:abstractNumId w:val="5"/>
  </w:num>
  <w:num w:numId="21">
    <w:abstractNumId w:val="20"/>
  </w:num>
  <w:num w:numId="22">
    <w:abstractNumId w:val="25"/>
  </w:num>
  <w:num w:numId="23">
    <w:abstractNumId w:val="11"/>
  </w:num>
  <w:num w:numId="24">
    <w:abstractNumId w:val="1"/>
  </w:num>
  <w:num w:numId="25">
    <w:abstractNumId w:val="28"/>
  </w:num>
  <w:num w:numId="26">
    <w:abstractNumId w:val="26"/>
  </w:num>
  <w:num w:numId="27">
    <w:abstractNumId w:val="14"/>
  </w:num>
  <w:num w:numId="28">
    <w:abstractNumId w:val="16"/>
  </w:num>
  <w:num w:numId="2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A16"/>
    <w:rsid w:val="000008A8"/>
    <w:rsid w:val="00001CC8"/>
    <w:rsid w:val="00003A25"/>
    <w:rsid w:val="0000417C"/>
    <w:rsid w:val="000047F3"/>
    <w:rsid w:val="000049BF"/>
    <w:rsid w:val="00004F96"/>
    <w:rsid w:val="0000526E"/>
    <w:rsid w:val="000075BD"/>
    <w:rsid w:val="00007FFA"/>
    <w:rsid w:val="000107D2"/>
    <w:rsid w:val="00010BB1"/>
    <w:rsid w:val="0001166F"/>
    <w:rsid w:val="00012B31"/>
    <w:rsid w:val="0001375A"/>
    <w:rsid w:val="000145D3"/>
    <w:rsid w:val="00014C51"/>
    <w:rsid w:val="0001501E"/>
    <w:rsid w:val="00015682"/>
    <w:rsid w:val="000163BB"/>
    <w:rsid w:val="0002009E"/>
    <w:rsid w:val="00021BBA"/>
    <w:rsid w:val="00021DD5"/>
    <w:rsid w:val="00023D59"/>
    <w:rsid w:val="00024C26"/>
    <w:rsid w:val="00026987"/>
    <w:rsid w:val="00030740"/>
    <w:rsid w:val="000313A6"/>
    <w:rsid w:val="00032CBE"/>
    <w:rsid w:val="00034FEA"/>
    <w:rsid w:val="000368D6"/>
    <w:rsid w:val="000403BF"/>
    <w:rsid w:val="00040DAC"/>
    <w:rsid w:val="0004144A"/>
    <w:rsid w:val="00042EC9"/>
    <w:rsid w:val="00043CB5"/>
    <w:rsid w:val="000467F2"/>
    <w:rsid w:val="000511D7"/>
    <w:rsid w:val="00051691"/>
    <w:rsid w:val="000522D3"/>
    <w:rsid w:val="00052482"/>
    <w:rsid w:val="00053A7C"/>
    <w:rsid w:val="00053E7C"/>
    <w:rsid w:val="000548D1"/>
    <w:rsid w:val="00056208"/>
    <w:rsid w:val="00056E91"/>
    <w:rsid w:val="00057C47"/>
    <w:rsid w:val="00060630"/>
    <w:rsid w:val="000627FC"/>
    <w:rsid w:val="00062E7C"/>
    <w:rsid w:val="00064386"/>
    <w:rsid w:val="00064C6A"/>
    <w:rsid w:val="00065E7B"/>
    <w:rsid w:val="00067091"/>
    <w:rsid w:val="00070DEE"/>
    <w:rsid w:val="00071001"/>
    <w:rsid w:val="000711F8"/>
    <w:rsid w:val="000720A7"/>
    <w:rsid w:val="0007277E"/>
    <w:rsid w:val="00072ECC"/>
    <w:rsid w:val="0007331E"/>
    <w:rsid w:val="000736DE"/>
    <w:rsid w:val="00073FC3"/>
    <w:rsid w:val="00075EFC"/>
    <w:rsid w:val="000773CA"/>
    <w:rsid w:val="000777E5"/>
    <w:rsid w:val="0008043F"/>
    <w:rsid w:val="00081EF3"/>
    <w:rsid w:val="00082421"/>
    <w:rsid w:val="00084E8C"/>
    <w:rsid w:val="000859E0"/>
    <w:rsid w:val="00086345"/>
    <w:rsid w:val="00091B84"/>
    <w:rsid w:val="000921C9"/>
    <w:rsid w:val="00092345"/>
    <w:rsid w:val="00093C3D"/>
    <w:rsid w:val="000942C0"/>
    <w:rsid w:val="00094D76"/>
    <w:rsid w:val="00095597"/>
    <w:rsid w:val="000A0552"/>
    <w:rsid w:val="000A544C"/>
    <w:rsid w:val="000A70C9"/>
    <w:rsid w:val="000A7A50"/>
    <w:rsid w:val="000B1E2B"/>
    <w:rsid w:val="000B23FE"/>
    <w:rsid w:val="000B2C32"/>
    <w:rsid w:val="000B5517"/>
    <w:rsid w:val="000C11B9"/>
    <w:rsid w:val="000C25FC"/>
    <w:rsid w:val="000C5629"/>
    <w:rsid w:val="000C79DE"/>
    <w:rsid w:val="000C7E61"/>
    <w:rsid w:val="000D061B"/>
    <w:rsid w:val="000D0F72"/>
    <w:rsid w:val="000D223E"/>
    <w:rsid w:val="000D2DAD"/>
    <w:rsid w:val="000D4180"/>
    <w:rsid w:val="000D4F5C"/>
    <w:rsid w:val="000D52C7"/>
    <w:rsid w:val="000D636A"/>
    <w:rsid w:val="000D7ECB"/>
    <w:rsid w:val="000E13EA"/>
    <w:rsid w:val="000E1C78"/>
    <w:rsid w:val="000E2FE8"/>
    <w:rsid w:val="000E3BA4"/>
    <w:rsid w:val="000E4072"/>
    <w:rsid w:val="000E534F"/>
    <w:rsid w:val="000E5F25"/>
    <w:rsid w:val="000E6164"/>
    <w:rsid w:val="000E6638"/>
    <w:rsid w:val="000E6A9F"/>
    <w:rsid w:val="000E7C37"/>
    <w:rsid w:val="000E7E64"/>
    <w:rsid w:val="000F2555"/>
    <w:rsid w:val="000F2618"/>
    <w:rsid w:val="000F2748"/>
    <w:rsid w:val="000F2919"/>
    <w:rsid w:val="000F420A"/>
    <w:rsid w:val="000F4611"/>
    <w:rsid w:val="000F47AA"/>
    <w:rsid w:val="000F4D1D"/>
    <w:rsid w:val="000F57F3"/>
    <w:rsid w:val="000F7441"/>
    <w:rsid w:val="000F7944"/>
    <w:rsid w:val="000F7B48"/>
    <w:rsid w:val="001011BD"/>
    <w:rsid w:val="00103E87"/>
    <w:rsid w:val="0010492B"/>
    <w:rsid w:val="001059BB"/>
    <w:rsid w:val="00107646"/>
    <w:rsid w:val="0011094F"/>
    <w:rsid w:val="0011162F"/>
    <w:rsid w:val="00113B28"/>
    <w:rsid w:val="001141A0"/>
    <w:rsid w:val="00114457"/>
    <w:rsid w:val="00114859"/>
    <w:rsid w:val="001151D5"/>
    <w:rsid w:val="00120342"/>
    <w:rsid w:val="001216D9"/>
    <w:rsid w:val="00121C78"/>
    <w:rsid w:val="00123445"/>
    <w:rsid w:val="00123D92"/>
    <w:rsid w:val="001242D0"/>
    <w:rsid w:val="00124BCF"/>
    <w:rsid w:val="00126DAC"/>
    <w:rsid w:val="0012712B"/>
    <w:rsid w:val="00127EAA"/>
    <w:rsid w:val="00131004"/>
    <w:rsid w:val="0013334B"/>
    <w:rsid w:val="00136049"/>
    <w:rsid w:val="00136B67"/>
    <w:rsid w:val="00137BE2"/>
    <w:rsid w:val="001409FD"/>
    <w:rsid w:val="00143645"/>
    <w:rsid w:val="00143943"/>
    <w:rsid w:val="00144966"/>
    <w:rsid w:val="00144CB6"/>
    <w:rsid w:val="001451A7"/>
    <w:rsid w:val="0014578A"/>
    <w:rsid w:val="00146887"/>
    <w:rsid w:val="001473C8"/>
    <w:rsid w:val="0014768F"/>
    <w:rsid w:val="001508D1"/>
    <w:rsid w:val="00150F61"/>
    <w:rsid w:val="001512E3"/>
    <w:rsid w:val="00153E3F"/>
    <w:rsid w:val="00153F29"/>
    <w:rsid w:val="00156214"/>
    <w:rsid w:val="00156768"/>
    <w:rsid w:val="00157DD2"/>
    <w:rsid w:val="001606EE"/>
    <w:rsid w:val="0016176C"/>
    <w:rsid w:val="0016191B"/>
    <w:rsid w:val="0016209B"/>
    <w:rsid w:val="00162DE3"/>
    <w:rsid w:val="00163C05"/>
    <w:rsid w:val="00164CF1"/>
    <w:rsid w:val="00164FAB"/>
    <w:rsid w:val="001669A0"/>
    <w:rsid w:val="0016764B"/>
    <w:rsid w:val="00167BAD"/>
    <w:rsid w:val="00173AA0"/>
    <w:rsid w:val="00175AF8"/>
    <w:rsid w:val="0018163E"/>
    <w:rsid w:val="00185A4D"/>
    <w:rsid w:val="00185B4F"/>
    <w:rsid w:val="00186CE7"/>
    <w:rsid w:val="00187196"/>
    <w:rsid w:val="001906CC"/>
    <w:rsid w:val="0019169A"/>
    <w:rsid w:val="00193B46"/>
    <w:rsid w:val="0019493F"/>
    <w:rsid w:val="00197DAD"/>
    <w:rsid w:val="001A0901"/>
    <w:rsid w:val="001A0BA2"/>
    <w:rsid w:val="001A0C24"/>
    <w:rsid w:val="001A2484"/>
    <w:rsid w:val="001A2814"/>
    <w:rsid w:val="001A2D14"/>
    <w:rsid w:val="001A5600"/>
    <w:rsid w:val="001A5870"/>
    <w:rsid w:val="001A5B83"/>
    <w:rsid w:val="001A65FA"/>
    <w:rsid w:val="001A6CD4"/>
    <w:rsid w:val="001A7C2A"/>
    <w:rsid w:val="001B0EDB"/>
    <w:rsid w:val="001B2647"/>
    <w:rsid w:val="001B4628"/>
    <w:rsid w:val="001B6257"/>
    <w:rsid w:val="001B6DBC"/>
    <w:rsid w:val="001C09CD"/>
    <w:rsid w:val="001C1ABC"/>
    <w:rsid w:val="001C2AD0"/>
    <w:rsid w:val="001C31AB"/>
    <w:rsid w:val="001C335A"/>
    <w:rsid w:val="001C4046"/>
    <w:rsid w:val="001C46AF"/>
    <w:rsid w:val="001C5C6E"/>
    <w:rsid w:val="001C6E7C"/>
    <w:rsid w:val="001D35EA"/>
    <w:rsid w:val="001D4ABC"/>
    <w:rsid w:val="001D63D6"/>
    <w:rsid w:val="001D6EF9"/>
    <w:rsid w:val="001D78AE"/>
    <w:rsid w:val="001D791E"/>
    <w:rsid w:val="001E1EC2"/>
    <w:rsid w:val="001E2CD3"/>
    <w:rsid w:val="001E373F"/>
    <w:rsid w:val="001E3F8F"/>
    <w:rsid w:val="001E4488"/>
    <w:rsid w:val="001E5651"/>
    <w:rsid w:val="001E5FF8"/>
    <w:rsid w:val="001E60BA"/>
    <w:rsid w:val="001E64BF"/>
    <w:rsid w:val="001F1F32"/>
    <w:rsid w:val="001F22DB"/>
    <w:rsid w:val="001F251F"/>
    <w:rsid w:val="001F2D5C"/>
    <w:rsid w:val="001F3407"/>
    <w:rsid w:val="001F4768"/>
    <w:rsid w:val="001F4AD4"/>
    <w:rsid w:val="001F5B6C"/>
    <w:rsid w:val="001F5C29"/>
    <w:rsid w:val="001F786D"/>
    <w:rsid w:val="001F7C15"/>
    <w:rsid w:val="00200EAD"/>
    <w:rsid w:val="00201360"/>
    <w:rsid w:val="00201D23"/>
    <w:rsid w:val="002051BA"/>
    <w:rsid w:val="00205DF6"/>
    <w:rsid w:val="0020677A"/>
    <w:rsid w:val="00206BA2"/>
    <w:rsid w:val="00206DD2"/>
    <w:rsid w:val="002075D9"/>
    <w:rsid w:val="00207F04"/>
    <w:rsid w:val="0021292C"/>
    <w:rsid w:val="00214CBA"/>
    <w:rsid w:val="002169E2"/>
    <w:rsid w:val="00220166"/>
    <w:rsid w:val="00220428"/>
    <w:rsid w:val="00222E40"/>
    <w:rsid w:val="002231C6"/>
    <w:rsid w:val="00223461"/>
    <w:rsid w:val="00223798"/>
    <w:rsid w:val="002256A6"/>
    <w:rsid w:val="002262BA"/>
    <w:rsid w:val="00226670"/>
    <w:rsid w:val="002276FC"/>
    <w:rsid w:val="00232C5E"/>
    <w:rsid w:val="002331BB"/>
    <w:rsid w:val="00234110"/>
    <w:rsid w:val="00234B09"/>
    <w:rsid w:val="00234CD8"/>
    <w:rsid w:val="00234EAB"/>
    <w:rsid w:val="00235879"/>
    <w:rsid w:val="00241654"/>
    <w:rsid w:val="00241BE9"/>
    <w:rsid w:val="00242FB4"/>
    <w:rsid w:val="002437CE"/>
    <w:rsid w:val="00243A42"/>
    <w:rsid w:val="00243F57"/>
    <w:rsid w:val="0024441A"/>
    <w:rsid w:val="00244933"/>
    <w:rsid w:val="00247352"/>
    <w:rsid w:val="00247DF1"/>
    <w:rsid w:val="002527E2"/>
    <w:rsid w:val="002534A2"/>
    <w:rsid w:val="00253B4C"/>
    <w:rsid w:val="00254170"/>
    <w:rsid w:val="00254509"/>
    <w:rsid w:val="00257393"/>
    <w:rsid w:val="00261D38"/>
    <w:rsid w:val="0026371A"/>
    <w:rsid w:val="00263A4D"/>
    <w:rsid w:val="002640EC"/>
    <w:rsid w:val="0026445C"/>
    <w:rsid w:val="00264D27"/>
    <w:rsid w:val="00265CF8"/>
    <w:rsid w:val="00265D41"/>
    <w:rsid w:val="00266F4A"/>
    <w:rsid w:val="00270395"/>
    <w:rsid w:val="00270CF3"/>
    <w:rsid w:val="00271811"/>
    <w:rsid w:val="00271FF3"/>
    <w:rsid w:val="00274C82"/>
    <w:rsid w:val="002757E8"/>
    <w:rsid w:val="0027598A"/>
    <w:rsid w:val="00277332"/>
    <w:rsid w:val="002775C0"/>
    <w:rsid w:val="0028135D"/>
    <w:rsid w:val="00281D13"/>
    <w:rsid w:val="00282370"/>
    <w:rsid w:val="00282C22"/>
    <w:rsid w:val="00282F35"/>
    <w:rsid w:val="0028411D"/>
    <w:rsid w:val="002848F7"/>
    <w:rsid w:val="00284CC5"/>
    <w:rsid w:val="00284CCB"/>
    <w:rsid w:val="002855D9"/>
    <w:rsid w:val="002867FB"/>
    <w:rsid w:val="0029062E"/>
    <w:rsid w:val="00291FC5"/>
    <w:rsid w:val="00292391"/>
    <w:rsid w:val="00293D69"/>
    <w:rsid w:val="0029721F"/>
    <w:rsid w:val="002A0E28"/>
    <w:rsid w:val="002A1268"/>
    <w:rsid w:val="002A383E"/>
    <w:rsid w:val="002A3C35"/>
    <w:rsid w:val="002A40A6"/>
    <w:rsid w:val="002A4644"/>
    <w:rsid w:val="002A4AAF"/>
    <w:rsid w:val="002A5D68"/>
    <w:rsid w:val="002A666F"/>
    <w:rsid w:val="002A67B2"/>
    <w:rsid w:val="002A7BF2"/>
    <w:rsid w:val="002B0C86"/>
    <w:rsid w:val="002B0E44"/>
    <w:rsid w:val="002B3A85"/>
    <w:rsid w:val="002B457E"/>
    <w:rsid w:val="002B485A"/>
    <w:rsid w:val="002B5613"/>
    <w:rsid w:val="002B672C"/>
    <w:rsid w:val="002C11C6"/>
    <w:rsid w:val="002C1491"/>
    <w:rsid w:val="002C14BC"/>
    <w:rsid w:val="002C43E0"/>
    <w:rsid w:val="002D1D3D"/>
    <w:rsid w:val="002D345C"/>
    <w:rsid w:val="002D5FC2"/>
    <w:rsid w:val="002D629D"/>
    <w:rsid w:val="002D6C14"/>
    <w:rsid w:val="002E29EB"/>
    <w:rsid w:val="002E31DE"/>
    <w:rsid w:val="002E3CC1"/>
    <w:rsid w:val="002E606A"/>
    <w:rsid w:val="002E7B94"/>
    <w:rsid w:val="002F1C38"/>
    <w:rsid w:val="002F1E8D"/>
    <w:rsid w:val="002F2059"/>
    <w:rsid w:val="002F279C"/>
    <w:rsid w:val="002F2884"/>
    <w:rsid w:val="002F2B46"/>
    <w:rsid w:val="002F334E"/>
    <w:rsid w:val="002F3616"/>
    <w:rsid w:val="002F4880"/>
    <w:rsid w:val="002F4C1E"/>
    <w:rsid w:val="002F4DCB"/>
    <w:rsid w:val="002F52AF"/>
    <w:rsid w:val="002F58D4"/>
    <w:rsid w:val="00303B69"/>
    <w:rsid w:val="00307EC7"/>
    <w:rsid w:val="003117A3"/>
    <w:rsid w:val="003211E1"/>
    <w:rsid w:val="00321586"/>
    <w:rsid w:val="00326675"/>
    <w:rsid w:val="00330A1B"/>
    <w:rsid w:val="00331511"/>
    <w:rsid w:val="003321B0"/>
    <w:rsid w:val="003344DC"/>
    <w:rsid w:val="003349B7"/>
    <w:rsid w:val="00336489"/>
    <w:rsid w:val="003366E7"/>
    <w:rsid w:val="0033748C"/>
    <w:rsid w:val="003375DB"/>
    <w:rsid w:val="0034090F"/>
    <w:rsid w:val="003413BD"/>
    <w:rsid w:val="00341BA2"/>
    <w:rsid w:val="00341C7C"/>
    <w:rsid w:val="00342910"/>
    <w:rsid w:val="00344DA4"/>
    <w:rsid w:val="00345FBD"/>
    <w:rsid w:val="00350646"/>
    <w:rsid w:val="00351823"/>
    <w:rsid w:val="00352539"/>
    <w:rsid w:val="00353BDB"/>
    <w:rsid w:val="0035663B"/>
    <w:rsid w:val="003566CF"/>
    <w:rsid w:val="0035693E"/>
    <w:rsid w:val="003574F1"/>
    <w:rsid w:val="0035782B"/>
    <w:rsid w:val="00357850"/>
    <w:rsid w:val="00357E39"/>
    <w:rsid w:val="0036219B"/>
    <w:rsid w:val="00362A5D"/>
    <w:rsid w:val="00362B52"/>
    <w:rsid w:val="003634CF"/>
    <w:rsid w:val="00363AF4"/>
    <w:rsid w:val="00366297"/>
    <w:rsid w:val="0036716A"/>
    <w:rsid w:val="0037057C"/>
    <w:rsid w:val="00372CF1"/>
    <w:rsid w:val="00373A21"/>
    <w:rsid w:val="00373F11"/>
    <w:rsid w:val="00375AA3"/>
    <w:rsid w:val="00375D8A"/>
    <w:rsid w:val="0037638F"/>
    <w:rsid w:val="00376D20"/>
    <w:rsid w:val="003804EC"/>
    <w:rsid w:val="00380A3F"/>
    <w:rsid w:val="00384F52"/>
    <w:rsid w:val="003851B1"/>
    <w:rsid w:val="0038589A"/>
    <w:rsid w:val="00386139"/>
    <w:rsid w:val="00387897"/>
    <w:rsid w:val="00387EC9"/>
    <w:rsid w:val="0039086A"/>
    <w:rsid w:val="003915FE"/>
    <w:rsid w:val="00391D60"/>
    <w:rsid w:val="00392176"/>
    <w:rsid w:val="00392506"/>
    <w:rsid w:val="00392EC4"/>
    <w:rsid w:val="00393F84"/>
    <w:rsid w:val="003962CB"/>
    <w:rsid w:val="003A080E"/>
    <w:rsid w:val="003A0F08"/>
    <w:rsid w:val="003A1C0A"/>
    <w:rsid w:val="003A4C3F"/>
    <w:rsid w:val="003A5A2F"/>
    <w:rsid w:val="003A7A09"/>
    <w:rsid w:val="003B0802"/>
    <w:rsid w:val="003B11B6"/>
    <w:rsid w:val="003B2350"/>
    <w:rsid w:val="003B2FDD"/>
    <w:rsid w:val="003B536D"/>
    <w:rsid w:val="003C0547"/>
    <w:rsid w:val="003C08DF"/>
    <w:rsid w:val="003C20DA"/>
    <w:rsid w:val="003C2182"/>
    <w:rsid w:val="003C3B0A"/>
    <w:rsid w:val="003C4144"/>
    <w:rsid w:val="003C551E"/>
    <w:rsid w:val="003C5ED6"/>
    <w:rsid w:val="003C660B"/>
    <w:rsid w:val="003C67FE"/>
    <w:rsid w:val="003C7609"/>
    <w:rsid w:val="003C76B9"/>
    <w:rsid w:val="003C7E51"/>
    <w:rsid w:val="003E0438"/>
    <w:rsid w:val="003E04BA"/>
    <w:rsid w:val="003E0C3F"/>
    <w:rsid w:val="003E1E98"/>
    <w:rsid w:val="003E1FFE"/>
    <w:rsid w:val="003E242D"/>
    <w:rsid w:val="003E50EC"/>
    <w:rsid w:val="003E5231"/>
    <w:rsid w:val="003F05DE"/>
    <w:rsid w:val="003F290B"/>
    <w:rsid w:val="003F2914"/>
    <w:rsid w:val="003F334C"/>
    <w:rsid w:val="003F4663"/>
    <w:rsid w:val="003F49E4"/>
    <w:rsid w:val="003F5D8A"/>
    <w:rsid w:val="003F6427"/>
    <w:rsid w:val="003F7BAC"/>
    <w:rsid w:val="004007E9"/>
    <w:rsid w:val="00401681"/>
    <w:rsid w:val="004040A5"/>
    <w:rsid w:val="00404105"/>
    <w:rsid w:val="00404E2B"/>
    <w:rsid w:val="00405387"/>
    <w:rsid w:val="00410F32"/>
    <w:rsid w:val="00411D2C"/>
    <w:rsid w:val="00415C94"/>
    <w:rsid w:val="00417570"/>
    <w:rsid w:val="00420BF6"/>
    <w:rsid w:val="00421383"/>
    <w:rsid w:val="00421A59"/>
    <w:rsid w:val="004226A9"/>
    <w:rsid w:val="00422A51"/>
    <w:rsid w:val="00422D31"/>
    <w:rsid w:val="004244FE"/>
    <w:rsid w:val="0042476B"/>
    <w:rsid w:val="00424897"/>
    <w:rsid w:val="00425A13"/>
    <w:rsid w:val="004267E2"/>
    <w:rsid w:val="004300E3"/>
    <w:rsid w:val="00431913"/>
    <w:rsid w:val="0043353A"/>
    <w:rsid w:val="0043413B"/>
    <w:rsid w:val="00434E68"/>
    <w:rsid w:val="00436D15"/>
    <w:rsid w:val="00437771"/>
    <w:rsid w:val="00437DD8"/>
    <w:rsid w:val="00441C24"/>
    <w:rsid w:val="00442CC4"/>
    <w:rsid w:val="00443E81"/>
    <w:rsid w:val="00445CB9"/>
    <w:rsid w:val="00450D90"/>
    <w:rsid w:val="004523A5"/>
    <w:rsid w:val="0045274A"/>
    <w:rsid w:val="0045484C"/>
    <w:rsid w:val="00455240"/>
    <w:rsid w:val="00457430"/>
    <w:rsid w:val="004578AC"/>
    <w:rsid w:val="00462BD6"/>
    <w:rsid w:val="00462D4F"/>
    <w:rsid w:val="00466F5C"/>
    <w:rsid w:val="0046764B"/>
    <w:rsid w:val="004702A6"/>
    <w:rsid w:val="004706BD"/>
    <w:rsid w:val="004718E2"/>
    <w:rsid w:val="00474E08"/>
    <w:rsid w:val="00474EE4"/>
    <w:rsid w:val="00477474"/>
    <w:rsid w:val="00477AFE"/>
    <w:rsid w:val="00477C11"/>
    <w:rsid w:val="0048154B"/>
    <w:rsid w:val="004818F7"/>
    <w:rsid w:val="00482446"/>
    <w:rsid w:val="00484A1B"/>
    <w:rsid w:val="00485751"/>
    <w:rsid w:val="00493891"/>
    <w:rsid w:val="00494167"/>
    <w:rsid w:val="00495E66"/>
    <w:rsid w:val="00497097"/>
    <w:rsid w:val="004A04A4"/>
    <w:rsid w:val="004A0E8A"/>
    <w:rsid w:val="004A21CE"/>
    <w:rsid w:val="004A2981"/>
    <w:rsid w:val="004A3676"/>
    <w:rsid w:val="004A3B98"/>
    <w:rsid w:val="004A5829"/>
    <w:rsid w:val="004A6531"/>
    <w:rsid w:val="004A65AC"/>
    <w:rsid w:val="004A6DDB"/>
    <w:rsid w:val="004B13A3"/>
    <w:rsid w:val="004B2204"/>
    <w:rsid w:val="004B3001"/>
    <w:rsid w:val="004B3360"/>
    <w:rsid w:val="004B40D6"/>
    <w:rsid w:val="004B4FA1"/>
    <w:rsid w:val="004B60A8"/>
    <w:rsid w:val="004B6718"/>
    <w:rsid w:val="004B6EEA"/>
    <w:rsid w:val="004B7837"/>
    <w:rsid w:val="004B7D8A"/>
    <w:rsid w:val="004C0642"/>
    <w:rsid w:val="004C0D63"/>
    <w:rsid w:val="004C15F9"/>
    <w:rsid w:val="004C1CA2"/>
    <w:rsid w:val="004C399C"/>
    <w:rsid w:val="004C4474"/>
    <w:rsid w:val="004C4BA9"/>
    <w:rsid w:val="004C4CF4"/>
    <w:rsid w:val="004C5C8F"/>
    <w:rsid w:val="004C622A"/>
    <w:rsid w:val="004C626A"/>
    <w:rsid w:val="004C64C4"/>
    <w:rsid w:val="004C7666"/>
    <w:rsid w:val="004C7EEA"/>
    <w:rsid w:val="004D2A9F"/>
    <w:rsid w:val="004D5C14"/>
    <w:rsid w:val="004D5DF1"/>
    <w:rsid w:val="004D5E7B"/>
    <w:rsid w:val="004D71A7"/>
    <w:rsid w:val="004D71D1"/>
    <w:rsid w:val="004D7D41"/>
    <w:rsid w:val="004E0984"/>
    <w:rsid w:val="004E0C0B"/>
    <w:rsid w:val="004E2AF3"/>
    <w:rsid w:val="004E3BCF"/>
    <w:rsid w:val="004E4429"/>
    <w:rsid w:val="004E4D77"/>
    <w:rsid w:val="004E5C90"/>
    <w:rsid w:val="004E6199"/>
    <w:rsid w:val="004E655F"/>
    <w:rsid w:val="004E700B"/>
    <w:rsid w:val="004E7055"/>
    <w:rsid w:val="004E74D0"/>
    <w:rsid w:val="004F0018"/>
    <w:rsid w:val="004F16EA"/>
    <w:rsid w:val="004F2C10"/>
    <w:rsid w:val="004F3F5B"/>
    <w:rsid w:val="004F465C"/>
    <w:rsid w:val="004F5B1F"/>
    <w:rsid w:val="004F61DE"/>
    <w:rsid w:val="00501B1D"/>
    <w:rsid w:val="00501B52"/>
    <w:rsid w:val="00501B71"/>
    <w:rsid w:val="0050364E"/>
    <w:rsid w:val="00504580"/>
    <w:rsid w:val="00510190"/>
    <w:rsid w:val="005107AF"/>
    <w:rsid w:val="00512412"/>
    <w:rsid w:val="00512664"/>
    <w:rsid w:val="00513CF7"/>
    <w:rsid w:val="00515C5F"/>
    <w:rsid w:val="005178EE"/>
    <w:rsid w:val="005178F3"/>
    <w:rsid w:val="00520199"/>
    <w:rsid w:val="00520EF1"/>
    <w:rsid w:val="005210CA"/>
    <w:rsid w:val="005218CD"/>
    <w:rsid w:val="00521CE8"/>
    <w:rsid w:val="00521DEE"/>
    <w:rsid w:val="00521E9F"/>
    <w:rsid w:val="005220C2"/>
    <w:rsid w:val="00524B0E"/>
    <w:rsid w:val="00524CA1"/>
    <w:rsid w:val="005273EE"/>
    <w:rsid w:val="0052787B"/>
    <w:rsid w:val="00527F72"/>
    <w:rsid w:val="0053343B"/>
    <w:rsid w:val="0053688B"/>
    <w:rsid w:val="005404EF"/>
    <w:rsid w:val="00540FAE"/>
    <w:rsid w:val="00542211"/>
    <w:rsid w:val="00542D4A"/>
    <w:rsid w:val="0054300C"/>
    <w:rsid w:val="00543C01"/>
    <w:rsid w:val="005449C9"/>
    <w:rsid w:val="00544CFB"/>
    <w:rsid w:val="00546ABF"/>
    <w:rsid w:val="005472CB"/>
    <w:rsid w:val="005504C6"/>
    <w:rsid w:val="0055073B"/>
    <w:rsid w:val="005529EF"/>
    <w:rsid w:val="00552ABE"/>
    <w:rsid w:val="0055569E"/>
    <w:rsid w:val="0055579F"/>
    <w:rsid w:val="00556093"/>
    <w:rsid w:val="00556196"/>
    <w:rsid w:val="00560A50"/>
    <w:rsid w:val="00561575"/>
    <w:rsid w:val="005623E5"/>
    <w:rsid w:val="00562C18"/>
    <w:rsid w:val="005700F0"/>
    <w:rsid w:val="00571203"/>
    <w:rsid w:val="005718D5"/>
    <w:rsid w:val="005721C4"/>
    <w:rsid w:val="0057397C"/>
    <w:rsid w:val="0057455C"/>
    <w:rsid w:val="00575316"/>
    <w:rsid w:val="00575793"/>
    <w:rsid w:val="00575A99"/>
    <w:rsid w:val="00577965"/>
    <w:rsid w:val="005806DF"/>
    <w:rsid w:val="00581B7C"/>
    <w:rsid w:val="0058218A"/>
    <w:rsid w:val="00583202"/>
    <w:rsid w:val="00587D1B"/>
    <w:rsid w:val="00590A3D"/>
    <w:rsid w:val="00591357"/>
    <w:rsid w:val="00591C5E"/>
    <w:rsid w:val="005933ED"/>
    <w:rsid w:val="00593D7B"/>
    <w:rsid w:val="00595619"/>
    <w:rsid w:val="00595854"/>
    <w:rsid w:val="00595860"/>
    <w:rsid w:val="005968E1"/>
    <w:rsid w:val="005979F6"/>
    <w:rsid w:val="005A0CE1"/>
    <w:rsid w:val="005A0E29"/>
    <w:rsid w:val="005A14EC"/>
    <w:rsid w:val="005A179A"/>
    <w:rsid w:val="005A1F1E"/>
    <w:rsid w:val="005A2F77"/>
    <w:rsid w:val="005A3534"/>
    <w:rsid w:val="005A38CC"/>
    <w:rsid w:val="005A3B0E"/>
    <w:rsid w:val="005A55AB"/>
    <w:rsid w:val="005A6514"/>
    <w:rsid w:val="005A698C"/>
    <w:rsid w:val="005A69CE"/>
    <w:rsid w:val="005A7CE4"/>
    <w:rsid w:val="005B050B"/>
    <w:rsid w:val="005B16FB"/>
    <w:rsid w:val="005B258D"/>
    <w:rsid w:val="005B308F"/>
    <w:rsid w:val="005B7224"/>
    <w:rsid w:val="005B7C01"/>
    <w:rsid w:val="005C0817"/>
    <w:rsid w:val="005C17B1"/>
    <w:rsid w:val="005C2D1E"/>
    <w:rsid w:val="005C35C3"/>
    <w:rsid w:val="005C5440"/>
    <w:rsid w:val="005C659A"/>
    <w:rsid w:val="005C6BD8"/>
    <w:rsid w:val="005D1584"/>
    <w:rsid w:val="005D16B4"/>
    <w:rsid w:val="005D5178"/>
    <w:rsid w:val="005D5D59"/>
    <w:rsid w:val="005D71A1"/>
    <w:rsid w:val="005E15A9"/>
    <w:rsid w:val="005E36A8"/>
    <w:rsid w:val="005E37E5"/>
    <w:rsid w:val="005E3B79"/>
    <w:rsid w:val="005E44E2"/>
    <w:rsid w:val="005E4508"/>
    <w:rsid w:val="005E474A"/>
    <w:rsid w:val="005E6B6B"/>
    <w:rsid w:val="005F1369"/>
    <w:rsid w:val="005F1B88"/>
    <w:rsid w:val="005F252E"/>
    <w:rsid w:val="005F2C1F"/>
    <w:rsid w:val="005F3D60"/>
    <w:rsid w:val="005F6A7C"/>
    <w:rsid w:val="005F75FC"/>
    <w:rsid w:val="005F7659"/>
    <w:rsid w:val="0060099C"/>
    <w:rsid w:val="00601AF6"/>
    <w:rsid w:val="00601E24"/>
    <w:rsid w:val="00602DAB"/>
    <w:rsid w:val="00603080"/>
    <w:rsid w:val="00607E90"/>
    <w:rsid w:val="006113A7"/>
    <w:rsid w:val="0061253F"/>
    <w:rsid w:val="00612920"/>
    <w:rsid w:val="00612DC8"/>
    <w:rsid w:val="0061320E"/>
    <w:rsid w:val="006139C1"/>
    <w:rsid w:val="00613F6D"/>
    <w:rsid w:val="00614008"/>
    <w:rsid w:val="0061401F"/>
    <w:rsid w:val="00614FE7"/>
    <w:rsid w:val="006163C6"/>
    <w:rsid w:val="00616EF7"/>
    <w:rsid w:val="00617A6F"/>
    <w:rsid w:val="00622896"/>
    <w:rsid w:val="006228D8"/>
    <w:rsid w:val="00622C11"/>
    <w:rsid w:val="00625364"/>
    <w:rsid w:val="00625EF6"/>
    <w:rsid w:val="00626EA7"/>
    <w:rsid w:val="00626F42"/>
    <w:rsid w:val="0062753B"/>
    <w:rsid w:val="0062757F"/>
    <w:rsid w:val="00631179"/>
    <w:rsid w:val="006335A3"/>
    <w:rsid w:val="006336A1"/>
    <w:rsid w:val="00633DAB"/>
    <w:rsid w:val="00635F42"/>
    <w:rsid w:val="00637942"/>
    <w:rsid w:val="006379BD"/>
    <w:rsid w:val="00637CAE"/>
    <w:rsid w:val="00640B96"/>
    <w:rsid w:val="00640EF2"/>
    <w:rsid w:val="0064362D"/>
    <w:rsid w:val="00644975"/>
    <w:rsid w:val="00644F05"/>
    <w:rsid w:val="0064746F"/>
    <w:rsid w:val="00650ABE"/>
    <w:rsid w:val="00652201"/>
    <w:rsid w:val="0065367E"/>
    <w:rsid w:val="006545D1"/>
    <w:rsid w:val="00654BD3"/>
    <w:rsid w:val="00654DEC"/>
    <w:rsid w:val="00654EB0"/>
    <w:rsid w:val="0065777D"/>
    <w:rsid w:val="00657911"/>
    <w:rsid w:val="006614E7"/>
    <w:rsid w:val="00661C6B"/>
    <w:rsid w:val="0066291E"/>
    <w:rsid w:val="00662AE1"/>
    <w:rsid w:val="00663F0E"/>
    <w:rsid w:val="0066422F"/>
    <w:rsid w:val="006657CF"/>
    <w:rsid w:val="00670419"/>
    <w:rsid w:val="00670CF6"/>
    <w:rsid w:val="006711E7"/>
    <w:rsid w:val="00672837"/>
    <w:rsid w:val="0067361E"/>
    <w:rsid w:val="006738F7"/>
    <w:rsid w:val="00675BC3"/>
    <w:rsid w:val="00677417"/>
    <w:rsid w:val="00677AC9"/>
    <w:rsid w:val="00677CDB"/>
    <w:rsid w:val="00680C85"/>
    <w:rsid w:val="006838F6"/>
    <w:rsid w:val="00684E17"/>
    <w:rsid w:val="0068575D"/>
    <w:rsid w:val="00686F39"/>
    <w:rsid w:val="00690C2B"/>
    <w:rsid w:val="00690EF4"/>
    <w:rsid w:val="0069188F"/>
    <w:rsid w:val="006922D3"/>
    <w:rsid w:val="006934E4"/>
    <w:rsid w:val="00693CC7"/>
    <w:rsid w:val="00693D9D"/>
    <w:rsid w:val="00694DFA"/>
    <w:rsid w:val="00695C42"/>
    <w:rsid w:val="006967B9"/>
    <w:rsid w:val="00696845"/>
    <w:rsid w:val="006969A2"/>
    <w:rsid w:val="006A13F0"/>
    <w:rsid w:val="006A4CD0"/>
    <w:rsid w:val="006A5D05"/>
    <w:rsid w:val="006A5EF9"/>
    <w:rsid w:val="006A6DF8"/>
    <w:rsid w:val="006A7194"/>
    <w:rsid w:val="006A7200"/>
    <w:rsid w:val="006B07B9"/>
    <w:rsid w:val="006B11D1"/>
    <w:rsid w:val="006B1558"/>
    <w:rsid w:val="006B23D0"/>
    <w:rsid w:val="006B424D"/>
    <w:rsid w:val="006B4980"/>
    <w:rsid w:val="006B6CCC"/>
    <w:rsid w:val="006B7BBF"/>
    <w:rsid w:val="006C034C"/>
    <w:rsid w:val="006C1CEE"/>
    <w:rsid w:val="006C291D"/>
    <w:rsid w:val="006C63DB"/>
    <w:rsid w:val="006C7764"/>
    <w:rsid w:val="006D00E6"/>
    <w:rsid w:val="006D07FA"/>
    <w:rsid w:val="006D08D6"/>
    <w:rsid w:val="006D1BD0"/>
    <w:rsid w:val="006D3265"/>
    <w:rsid w:val="006D328C"/>
    <w:rsid w:val="006D3A6F"/>
    <w:rsid w:val="006D3D1B"/>
    <w:rsid w:val="006D49D0"/>
    <w:rsid w:val="006D58CD"/>
    <w:rsid w:val="006D5D40"/>
    <w:rsid w:val="006D71D8"/>
    <w:rsid w:val="006E0F56"/>
    <w:rsid w:val="006E10BB"/>
    <w:rsid w:val="006E110B"/>
    <w:rsid w:val="006E2D71"/>
    <w:rsid w:val="006E4FF7"/>
    <w:rsid w:val="006E7DDF"/>
    <w:rsid w:val="006F0016"/>
    <w:rsid w:val="006F3139"/>
    <w:rsid w:val="006F45AC"/>
    <w:rsid w:val="006F626B"/>
    <w:rsid w:val="00700698"/>
    <w:rsid w:val="00700EAB"/>
    <w:rsid w:val="0070143E"/>
    <w:rsid w:val="0070283E"/>
    <w:rsid w:val="00702FFE"/>
    <w:rsid w:val="00706027"/>
    <w:rsid w:val="00706519"/>
    <w:rsid w:val="00707EF5"/>
    <w:rsid w:val="0071190A"/>
    <w:rsid w:val="0071251A"/>
    <w:rsid w:val="00713312"/>
    <w:rsid w:val="00715DBD"/>
    <w:rsid w:val="00717295"/>
    <w:rsid w:val="007201F8"/>
    <w:rsid w:val="007212AA"/>
    <w:rsid w:val="00721E67"/>
    <w:rsid w:val="00723578"/>
    <w:rsid w:val="007243C2"/>
    <w:rsid w:val="0072545A"/>
    <w:rsid w:val="00727CA4"/>
    <w:rsid w:val="00730B7C"/>
    <w:rsid w:val="007328A8"/>
    <w:rsid w:val="007340B1"/>
    <w:rsid w:val="0073579A"/>
    <w:rsid w:val="0074128A"/>
    <w:rsid w:val="00744918"/>
    <w:rsid w:val="00746DE7"/>
    <w:rsid w:val="00747D0C"/>
    <w:rsid w:val="00751190"/>
    <w:rsid w:val="00751AD7"/>
    <w:rsid w:val="00751EDB"/>
    <w:rsid w:val="00753C05"/>
    <w:rsid w:val="007540F2"/>
    <w:rsid w:val="00755E63"/>
    <w:rsid w:val="00756A7D"/>
    <w:rsid w:val="00756EEF"/>
    <w:rsid w:val="007571CF"/>
    <w:rsid w:val="00760066"/>
    <w:rsid w:val="007616D1"/>
    <w:rsid w:val="0076324A"/>
    <w:rsid w:val="00763CA2"/>
    <w:rsid w:val="007646D2"/>
    <w:rsid w:val="0076554E"/>
    <w:rsid w:val="00766A9B"/>
    <w:rsid w:val="00766DF0"/>
    <w:rsid w:val="00767F35"/>
    <w:rsid w:val="00770AB4"/>
    <w:rsid w:val="007712F4"/>
    <w:rsid w:val="00771EB0"/>
    <w:rsid w:val="00774EE5"/>
    <w:rsid w:val="00777519"/>
    <w:rsid w:val="00780404"/>
    <w:rsid w:val="00781E14"/>
    <w:rsid w:val="0078456A"/>
    <w:rsid w:val="0078552F"/>
    <w:rsid w:val="00785BE7"/>
    <w:rsid w:val="00785DF9"/>
    <w:rsid w:val="00786F99"/>
    <w:rsid w:val="00787FC0"/>
    <w:rsid w:val="00791A62"/>
    <w:rsid w:val="00792CC7"/>
    <w:rsid w:val="0079489E"/>
    <w:rsid w:val="00795232"/>
    <w:rsid w:val="007959CC"/>
    <w:rsid w:val="0079629D"/>
    <w:rsid w:val="007A0BFC"/>
    <w:rsid w:val="007A1A0A"/>
    <w:rsid w:val="007A2D79"/>
    <w:rsid w:val="007A2DE5"/>
    <w:rsid w:val="007A3C16"/>
    <w:rsid w:val="007A562D"/>
    <w:rsid w:val="007A63B7"/>
    <w:rsid w:val="007A66AE"/>
    <w:rsid w:val="007B17C4"/>
    <w:rsid w:val="007B2837"/>
    <w:rsid w:val="007B2AD1"/>
    <w:rsid w:val="007B2CDA"/>
    <w:rsid w:val="007B3367"/>
    <w:rsid w:val="007B5304"/>
    <w:rsid w:val="007B54C8"/>
    <w:rsid w:val="007B6CA1"/>
    <w:rsid w:val="007C092E"/>
    <w:rsid w:val="007C12EC"/>
    <w:rsid w:val="007C3B8C"/>
    <w:rsid w:val="007C4B9B"/>
    <w:rsid w:val="007C56BD"/>
    <w:rsid w:val="007C76D5"/>
    <w:rsid w:val="007D3A5A"/>
    <w:rsid w:val="007D4057"/>
    <w:rsid w:val="007D4220"/>
    <w:rsid w:val="007D6D08"/>
    <w:rsid w:val="007D6E6A"/>
    <w:rsid w:val="007D78DD"/>
    <w:rsid w:val="007D7A7B"/>
    <w:rsid w:val="007E04D7"/>
    <w:rsid w:val="007E1D06"/>
    <w:rsid w:val="007E2799"/>
    <w:rsid w:val="007E28CF"/>
    <w:rsid w:val="007E4B97"/>
    <w:rsid w:val="007E4EA3"/>
    <w:rsid w:val="007F031C"/>
    <w:rsid w:val="007F0548"/>
    <w:rsid w:val="007F53C9"/>
    <w:rsid w:val="007F5B87"/>
    <w:rsid w:val="007F5DA4"/>
    <w:rsid w:val="007F6198"/>
    <w:rsid w:val="007F6AA4"/>
    <w:rsid w:val="007F762C"/>
    <w:rsid w:val="00800054"/>
    <w:rsid w:val="0080041F"/>
    <w:rsid w:val="00800D39"/>
    <w:rsid w:val="00801B25"/>
    <w:rsid w:val="00801CD8"/>
    <w:rsid w:val="008026D3"/>
    <w:rsid w:val="008035C3"/>
    <w:rsid w:val="00804491"/>
    <w:rsid w:val="00804A2E"/>
    <w:rsid w:val="0080510B"/>
    <w:rsid w:val="00805700"/>
    <w:rsid w:val="00805BE7"/>
    <w:rsid w:val="00806EB1"/>
    <w:rsid w:val="0081101D"/>
    <w:rsid w:val="008116B5"/>
    <w:rsid w:val="0081191C"/>
    <w:rsid w:val="008136FE"/>
    <w:rsid w:val="0081394A"/>
    <w:rsid w:val="00814537"/>
    <w:rsid w:val="00815460"/>
    <w:rsid w:val="008165C8"/>
    <w:rsid w:val="00820C50"/>
    <w:rsid w:val="00823E16"/>
    <w:rsid w:val="00824BE2"/>
    <w:rsid w:val="00825CE5"/>
    <w:rsid w:val="00825DB6"/>
    <w:rsid w:val="0082784F"/>
    <w:rsid w:val="00830B75"/>
    <w:rsid w:val="008319A9"/>
    <w:rsid w:val="00832C35"/>
    <w:rsid w:val="00833366"/>
    <w:rsid w:val="0083345C"/>
    <w:rsid w:val="00833BD0"/>
    <w:rsid w:val="00834716"/>
    <w:rsid w:val="008349B2"/>
    <w:rsid w:val="00834AC1"/>
    <w:rsid w:val="00834E70"/>
    <w:rsid w:val="00836758"/>
    <w:rsid w:val="00840DE3"/>
    <w:rsid w:val="00840E22"/>
    <w:rsid w:val="008421EE"/>
    <w:rsid w:val="0084248A"/>
    <w:rsid w:val="00842C54"/>
    <w:rsid w:val="0084434F"/>
    <w:rsid w:val="00846613"/>
    <w:rsid w:val="008478F4"/>
    <w:rsid w:val="00847D07"/>
    <w:rsid w:val="0085001B"/>
    <w:rsid w:val="0085369B"/>
    <w:rsid w:val="00856004"/>
    <w:rsid w:val="00856830"/>
    <w:rsid w:val="00857548"/>
    <w:rsid w:val="00857C06"/>
    <w:rsid w:val="00860427"/>
    <w:rsid w:val="0086093C"/>
    <w:rsid w:val="00861C58"/>
    <w:rsid w:val="00862BB7"/>
    <w:rsid w:val="00863822"/>
    <w:rsid w:val="008653F4"/>
    <w:rsid w:val="00865C3E"/>
    <w:rsid w:val="00866EC9"/>
    <w:rsid w:val="00867552"/>
    <w:rsid w:val="00872B8A"/>
    <w:rsid w:val="008732D1"/>
    <w:rsid w:val="00873C49"/>
    <w:rsid w:val="00877EB3"/>
    <w:rsid w:val="00880781"/>
    <w:rsid w:val="00882CCC"/>
    <w:rsid w:val="00883C6D"/>
    <w:rsid w:val="00885B7E"/>
    <w:rsid w:val="00887E00"/>
    <w:rsid w:val="008906BB"/>
    <w:rsid w:val="00890D26"/>
    <w:rsid w:val="00893DC1"/>
    <w:rsid w:val="008941A2"/>
    <w:rsid w:val="008963E6"/>
    <w:rsid w:val="00896C7A"/>
    <w:rsid w:val="008A0FFB"/>
    <w:rsid w:val="008A16EA"/>
    <w:rsid w:val="008A25A6"/>
    <w:rsid w:val="008A37A1"/>
    <w:rsid w:val="008A57B0"/>
    <w:rsid w:val="008A5D36"/>
    <w:rsid w:val="008A7628"/>
    <w:rsid w:val="008A770F"/>
    <w:rsid w:val="008A775C"/>
    <w:rsid w:val="008A7B08"/>
    <w:rsid w:val="008A7F5A"/>
    <w:rsid w:val="008B0B95"/>
    <w:rsid w:val="008B0E4C"/>
    <w:rsid w:val="008B1BAF"/>
    <w:rsid w:val="008B614C"/>
    <w:rsid w:val="008B6755"/>
    <w:rsid w:val="008B7171"/>
    <w:rsid w:val="008B7207"/>
    <w:rsid w:val="008B7723"/>
    <w:rsid w:val="008B7E53"/>
    <w:rsid w:val="008C0DE3"/>
    <w:rsid w:val="008C14DC"/>
    <w:rsid w:val="008C1764"/>
    <w:rsid w:val="008C40A9"/>
    <w:rsid w:val="008C40E7"/>
    <w:rsid w:val="008C45CD"/>
    <w:rsid w:val="008C4D85"/>
    <w:rsid w:val="008C4F79"/>
    <w:rsid w:val="008C7DF1"/>
    <w:rsid w:val="008D05B3"/>
    <w:rsid w:val="008D3CB9"/>
    <w:rsid w:val="008D3FF6"/>
    <w:rsid w:val="008D476A"/>
    <w:rsid w:val="008D4B89"/>
    <w:rsid w:val="008D66E1"/>
    <w:rsid w:val="008D7DA3"/>
    <w:rsid w:val="008E1BF3"/>
    <w:rsid w:val="008E1BF6"/>
    <w:rsid w:val="008E4A77"/>
    <w:rsid w:val="008E4E31"/>
    <w:rsid w:val="008E4E8A"/>
    <w:rsid w:val="008E5F04"/>
    <w:rsid w:val="008E6346"/>
    <w:rsid w:val="008E77E6"/>
    <w:rsid w:val="008F03C7"/>
    <w:rsid w:val="008F0C74"/>
    <w:rsid w:val="008F109E"/>
    <w:rsid w:val="008F1D7C"/>
    <w:rsid w:val="008F32DB"/>
    <w:rsid w:val="008F4126"/>
    <w:rsid w:val="008F419E"/>
    <w:rsid w:val="008F6652"/>
    <w:rsid w:val="008F6F11"/>
    <w:rsid w:val="0090084C"/>
    <w:rsid w:val="0090191B"/>
    <w:rsid w:val="009043E1"/>
    <w:rsid w:val="00905AC6"/>
    <w:rsid w:val="00907198"/>
    <w:rsid w:val="00907966"/>
    <w:rsid w:val="00910925"/>
    <w:rsid w:val="00911C8A"/>
    <w:rsid w:val="009122EA"/>
    <w:rsid w:val="0091309C"/>
    <w:rsid w:val="00913386"/>
    <w:rsid w:val="00914C9A"/>
    <w:rsid w:val="00916B86"/>
    <w:rsid w:val="00917E95"/>
    <w:rsid w:val="009203F4"/>
    <w:rsid w:val="009208DA"/>
    <w:rsid w:val="00920AF9"/>
    <w:rsid w:val="009211E5"/>
    <w:rsid w:val="00923441"/>
    <w:rsid w:val="009265C0"/>
    <w:rsid w:val="00927097"/>
    <w:rsid w:val="009324D5"/>
    <w:rsid w:val="00933EAE"/>
    <w:rsid w:val="00936902"/>
    <w:rsid w:val="00940EB3"/>
    <w:rsid w:val="009419D4"/>
    <w:rsid w:val="00942424"/>
    <w:rsid w:val="00944781"/>
    <w:rsid w:val="00944C54"/>
    <w:rsid w:val="00944FB0"/>
    <w:rsid w:val="00946625"/>
    <w:rsid w:val="009468F3"/>
    <w:rsid w:val="00946E58"/>
    <w:rsid w:val="009476C2"/>
    <w:rsid w:val="009507DE"/>
    <w:rsid w:val="00951C78"/>
    <w:rsid w:val="00952082"/>
    <w:rsid w:val="009522CE"/>
    <w:rsid w:val="0095393A"/>
    <w:rsid w:val="00954854"/>
    <w:rsid w:val="00955086"/>
    <w:rsid w:val="00956E3C"/>
    <w:rsid w:val="009652D3"/>
    <w:rsid w:val="009677DA"/>
    <w:rsid w:val="00967992"/>
    <w:rsid w:val="00967DF3"/>
    <w:rsid w:val="00967E25"/>
    <w:rsid w:val="009700FB"/>
    <w:rsid w:val="00970139"/>
    <w:rsid w:val="00970871"/>
    <w:rsid w:val="00971778"/>
    <w:rsid w:val="009736D2"/>
    <w:rsid w:val="00973C43"/>
    <w:rsid w:val="00973F39"/>
    <w:rsid w:val="00975A29"/>
    <w:rsid w:val="009768AD"/>
    <w:rsid w:val="00976F9A"/>
    <w:rsid w:val="009774FE"/>
    <w:rsid w:val="00977DF9"/>
    <w:rsid w:val="0098016E"/>
    <w:rsid w:val="00980FB0"/>
    <w:rsid w:val="00983499"/>
    <w:rsid w:val="00983704"/>
    <w:rsid w:val="00985307"/>
    <w:rsid w:val="009859AB"/>
    <w:rsid w:val="00986E18"/>
    <w:rsid w:val="009872E6"/>
    <w:rsid w:val="009876A6"/>
    <w:rsid w:val="00990BFC"/>
    <w:rsid w:val="00991997"/>
    <w:rsid w:val="0099358F"/>
    <w:rsid w:val="009945F6"/>
    <w:rsid w:val="00997C67"/>
    <w:rsid w:val="009A04FE"/>
    <w:rsid w:val="009A157E"/>
    <w:rsid w:val="009A34DE"/>
    <w:rsid w:val="009A34F3"/>
    <w:rsid w:val="009A45C9"/>
    <w:rsid w:val="009A4E5B"/>
    <w:rsid w:val="009A73F5"/>
    <w:rsid w:val="009B0623"/>
    <w:rsid w:val="009B2F97"/>
    <w:rsid w:val="009B6862"/>
    <w:rsid w:val="009C0C9F"/>
    <w:rsid w:val="009C0E0F"/>
    <w:rsid w:val="009C2606"/>
    <w:rsid w:val="009C2790"/>
    <w:rsid w:val="009C61A3"/>
    <w:rsid w:val="009C7C31"/>
    <w:rsid w:val="009C7FB3"/>
    <w:rsid w:val="009D1D1D"/>
    <w:rsid w:val="009D320D"/>
    <w:rsid w:val="009E0475"/>
    <w:rsid w:val="009E247E"/>
    <w:rsid w:val="009E3F8A"/>
    <w:rsid w:val="009E4AC9"/>
    <w:rsid w:val="009E71E5"/>
    <w:rsid w:val="009E7FE9"/>
    <w:rsid w:val="009F1A38"/>
    <w:rsid w:val="009F2BD0"/>
    <w:rsid w:val="009F519A"/>
    <w:rsid w:val="009F6AB3"/>
    <w:rsid w:val="009F6FC3"/>
    <w:rsid w:val="009F7865"/>
    <w:rsid w:val="00A04876"/>
    <w:rsid w:val="00A05937"/>
    <w:rsid w:val="00A10B26"/>
    <w:rsid w:val="00A1159D"/>
    <w:rsid w:val="00A11D5E"/>
    <w:rsid w:val="00A11DA1"/>
    <w:rsid w:val="00A1200B"/>
    <w:rsid w:val="00A125FA"/>
    <w:rsid w:val="00A170E5"/>
    <w:rsid w:val="00A17802"/>
    <w:rsid w:val="00A17A85"/>
    <w:rsid w:val="00A17E51"/>
    <w:rsid w:val="00A17FF5"/>
    <w:rsid w:val="00A21BC5"/>
    <w:rsid w:val="00A24D4B"/>
    <w:rsid w:val="00A24DCA"/>
    <w:rsid w:val="00A25674"/>
    <w:rsid w:val="00A2578F"/>
    <w:rsid w:val="00A257F6"/>
    <w:rsid w:val="00A25DBF"/>
    <w:rsid w:val="00A25E7F"/>
    <w:rsid w:val="00A26189"/>
    <w:rsid w:val="00A26B1B"/>
    <w:rsid w:val="00A310B2"/>
    <w:rsid w:val="00A3125E"/>
    <w:rsid w:val="00A317F7"/>
    <w:rsid w:val="00A36F09"/>
    <w:rsid w:val="00A40FCC"/>
    <w:rsid w:val="00A42A8D"/>
    <w:rsid w:val="00A44103"/>
    <w:rsid w:val="00A450C7"/>
    <w:rsid w:val="00A465B6"/>
    <w:rsid w:val="00A46BA0"/>
    <w:rsid w:val="00A46D49"/>
    <w:rsid w:val="00A476B2"/>
    <w:rsid w:val="00A51A71"/>
    <w:rsid w:val="00A52CDF"/>
    <w:rsid w:val="00A53EC7"/>
    <w:rsid w:val="00A53FC7"/>
    <w:rsid w:val="00A54729"/>
    <w:rsid w:val="00A57898"/>
    <w:rsid w:val="00A61DF6"/>
    <w:rsid w:val="00A6308D"/>
    <w:rsid w:val="00A630CD"/>
    <w:rsid w:val="00A63171"/>
    <w:rsid w:val="00A63F8A"/>
    <w:rsid w:val="00A64F09"/>
    <w:rsid w:val="00A65AC8"/>
    <w:rsid w:val="00A66348"/>
    <w:rsid w:val="00A66D02"/>
    <w:rsid w:val="00A702F7"/>
    <w:rsid w:val="00A71148"/>
    <w:rsid w:val="00A71878"/>
    <w:rsid w:val="00A72149"/>
    <w:rsid w:val="00A72895"/>
    <w:rsid w:val="00A73022"/>
    <w:rsid w:val="00A7381F"/>
    <w:rsid w:val="00A74987"/>
    <w:rsid w:val="00A74BC5"/>
    <w:rsid w:val="00A7501B"/>
    <w:rsid w:val="00A758FC"/>
    <w:rsid w:val="00A773E5"/>
    <w:rsid w:val="00A80363"/>
    <w:rsid w:val="00A80571"/>
    <w:rsid w:val="00A810B3"/>
    <w:rsid w:val="00A818F3"/>
    <w:rsid w:val="00A822A7"/>
    <w:rsid w:val="00A827AC"/>
    <w:rsid w:val="00A83349"/>
    <w:rsid w:val="00A84E00"/>
    <w:rsid w:val="00A84E41"/>
    <w:rsid w:val="00A8535E"/>
    <w:rsid w:val="00A874EB"/>
    <w:rsid w:val="00A91C5A"/>
    <w:rsid w:val="00A9227E"/>
    <w:rsid w:val="00A92EB7"/>
    <w:rsid w:val="00A938DF"/>
    <w:rsid w:val="00A958A1"/>
    <w:rsid w:val="00A95A17"/>
    <w:rsid w:val="00A9675F"/>
    <w:rsid w:val="00A96978"/>
    <w:rsid w:val="00A969CE"/>
    <w:rsid w:val="00A973E1"/>
    <w:rsid w:val="00AA0B0C"/>
    <w:rsid w:val="00AA208E"/>
    <w:rsid w:val="00AA3FF6"/>
    <w:rsid w:val="00AA4D88"/>
    <w:rsid w:val="00AA6A3D"/>
    <w:rsid w:val="00AB04E5"/>
    <w:rsid w:val="00AB140F"/>
    <w:rsid w:val="00AB1F29"/>
    <w:rsid w:val="00AB1F49"/>
    <w:rsid w:val="00AB2D5D"/>
    <w:rsid w:val="00AB57F5"/>
    <w:rsid w:val="00AB5AC5"/>
    <w:rsid w:val="00AB70A0"/>
    <w:rsid w:val="00AB70E6"/>
    <w:rsid w:val="00AB7EBF"/>
    <w:rsid w:val="00AC285F"/>
    <w:rsid w:val="00AC4039"/>
    <w:rsid w:val="00AC4617"/>
    <w:rsid w:val="00AC7F43"/>
    <w:rsid w:val="00AD00D0"/>
    <w:rsid w:val="00AD0C29"/>
    <w:rsid w:val="00AD0DFD"/>
    <w:rsid w:val="00AD1E80"/>
    <w:rsid w:val="00AD2102"/>
    <w:rsid w:val="00AD265B"/>
    <w:rsid w:val="00AD33C5"/>
    <w:rsid w:val="00AD4D8E"/>
    <w:rsid w:val="00AD6378"/>
    <w:rsid w:val="00AD6A82"/>
    <w:rsid w:val="00AD6B0C"/>
    <w:rsid w:val="00AD7C4D"/>
    <w:rsid w:val="00AE0169"/>
    <w:rsid w:val="00AE1378"/>
    <w:rsid w:val="00AE2878"/>
    <w:rsid w:val="00AE2E8B"/>
    <w:rsid w:val="00AE3146"/>
    <w:rsid w:val="00AE35CA"/>
    <w:rsid w:val="00AE5F7D"/>
    <w:rsid w:val="00AE62C2"/>
    <w:rsid w:val="00AE6F35"/>
    <w:rsid w:val="00AE6F7D"/>
    <w:rsid w:val="00AE7835"/>
    <w:rsid w:val="00AE7AA4"/>
    <w:rsid w:val="00AF156C"/>
    <w:rsid w:val="00AF1A88"/>
    <w:rsid w:val="00AF4AA4"/>
    <w:rsid w:val="00AF624D"/>
    <w:rsid w:val="00AF6420"/>
    <w:rsid w:val="00AF69A6"/>
    <w:rsid w:val="00AF7804"/>
    <w:rsid w:val="00B018AA"/>
    <w:rsid w:val="00B01D3F"/>
    <w:rsid w:val="00B023BD"/>
    <w:rsid w:val="00B03499"/>
    <w:rsid w:val="00B065F9"/>
    <w:rsid w:val="00B077D5"/>
    <w:rsid w:val="00B107CA"/>
    <w:rsid w:val="00B12150"/>
    <w:rsid w:val="00B126C0"/>
    <w:rsid w:val="00B12C2A"/>
    <w:rsid w:val="00B13D28"/>
    <w:rsid w:val="00B14593"/>
    <w:rsid w:val="00B1519A"/>
    <w:rsid w:val="00B160D4"/>
    <w:rsid w:val="00B16917"/>
    <w:rsid w:val="00B16BD5"/>
    <w:rsid w:val="00B17944"/>
    <w:rsid w:val="00B209DD"/>
    <w:rsid w:val="00B21127"/>
    <w:rsid w:val="00B21F0B"/>
    <w:rsid w:val="00B226BD"/>
    <w:rsid w:val="00B244EE"/>
    <w:rsid w:val="00B24F5D"/>
    <w:rsid w:val="00B25123"/>
    <w:rsid w:val="00B25224"/>
    <w:rsid w:val="00B25D02"/>
    <w:rsid w:val="00B2682B"/>
    <w:rsid w:val="00B26AB3"/>
    <w:rsid w:val="00B273C5"/>
    <w:rsid w:val="00B3082D"/>
    <w:rsid w:val="00B311B6"/>
    <w:rsid w:val="00B31AE8"/>
    <w:rsid w:val="00B31CDE"/>
    <w:rsid w:val="00B328AC"/>
    <w:rsid w:val="00B335D5"/>
    <w:rsid w:val="00B3396F"/>
    <w:rsid w:val="00B34119"/>
    <w:rsid w:val="00B34E1B"/>
    <w:rsid w:val="00B35375"/>
    <w:rsid w:val="00B40D59"/>
    <w:rsid w:val="00B4202D"/>
    <w:rsid w:val="00B42071"/>
    <w:rsid w:val="00B43C4A"/>
    <w:rsid w:val="00B443E5"/>
    <w:rsid w:val="00B45FE9"/>
    <w:rsid w:val="00B46F62"/>
    <w:rsid w:val="00B51D77"/>
    <w:rsid w:val="00B51F30"/>
    <w:rsid w:val="00B54556"/>
    <w:rsid w:val="00B5504F"/>
    <w:rsid w:val="00B55F99"/>
    <w:rsid w:val="00B56A68"/>
    <w:rsid w:val="00B601B2"/>
    <w:rsid w:val="00B60361"/>
    <w:rsid w:val="00B619AC"/>
    <w:rsid w:val="00B622E7"/>
    <w:rsid w:val="00B633A6"/>
    <w:rsid w:val="00B63949"/>
    <w:rsid w:val="00B70728"/>
    <w:rsid w:val="00B72AD1"/>
    <w:rsid w:val="00B72C46"/>
    <w:rsid w:val="00B72FED"/>
    <w:rsid w:val="00B73BC4"/>
    <w:rsid w:val="00B73C3E"/>
    <w:rsid w:val="00B74A40"/>
    <w:rsid w:val="00B761CD"/>
    <w:rsid w:val="00B76FDD"/>
    <w:rsid w:val="00B777D0"/>
    <w:rsid w:val="00B77867"/>
    <w:rsid w:val="00B779D5"/>
    <w:rsid w:val="00B80046"/>
    <w:rsid w:val="00B81528"/>
    <w:rsid w:val="00B81A32"/>
    <w:rsid w:val="00B82B07"/>
    <w:rsid w:val="00B831F1"/>
    <w:rsid w:val="00B83C2C"/>
    <w:rsid w:val="00B856E6"/>
    <w:rsid w:val="00B85FF7"/>
    <w:rsid w:val="00B87553"/>
    <w:rsid w:val="00B9011F"/>
    <w:rsid w:val="00B91E86"/>
    <w:rsid w:val="00B924AE"/>
    <w:rsid w:val="00B92C08"/>
    <w:rsid w:val="00B932FE"/>
    <w:rsid w:val="00B953B6"/>
    <w:rsid w:val="00BA0847"/>
    <w:rsid w:val="00BA2D30"/>
    <w:rsid w:val="00BA4467"/>
    <w:rsid w:val="00BA60F2"/>
    <w:rsid w:val="00BA6A9E"/>
    <w:rsid w:val="00BA75F1"/>
    <w:rsid w:val="00BA7AB4"/>
    <w:rsid w:val="00BB1B4D"/>
    <w:rsid w:val="00BB252B"/>
    <w:rsid w:val="00BB3744"/>
    <w:rsid w:val="00BB404E"/>
    <w:rsid w:val="00BB424C"/>
    <w:rsid w:val="00BB4BA9"/>
    <w:rsid w:val="00BB68CE"/>
    <w:rsid w:val="00BC0708"/>
    <w:rsid w:val="00BC1470"/>
    <w:rsid w:val="00BC1622"/>
    <w:rsid w:val="00BC4BB6"/>
    <w:rsid w:val="00BC4E30"/>
    <w:rsid w:val="00BC5F1F"/>
    <w:rsid w:val="00BC76DD"/>
    <w:rsid w:val="00BC7994"/>
    <w:rsid w:val="00BC79D8"/>
    <w:rsid w:val="00BC7A0B"/>
    <w:rsid w:val="00BC7CFC"/>
    <w:rsid w:val="00BD11DE"/>
    <w:rsid w:val="00BD396B"/>
    <w:rsid w:val="00BD45F4"/>
    <w:rsid w:val="00BD52AF"/>
    <w:rsid w:val="00BD5749"/>
    <w:rsid w:val="00BD5BFF"/>
    <w:rsid w:val="00BD6C9F"/>
    <w:rsid w:val="00BE1E60"/>
    <w:rsid w:val="00BE2404"/>
    <w:rsid w:val="00BE2846"/>
    <w:rsid w:val="00BE3D24"/>
    <w:rsid w:val="00BE4960"/>
    <w:rsid w:val="00BE4BAC"/>
    <w:rsid w:val="00BE69C7"/>
    <w:rsid w:val="00BF0EA9"/>
    <w:rsid w:val="00BF3AB2"/>
    <w:rsid w:val="00BF40E9"/>
    <w:rsid w:val="00BF41B6"/>
    <w:rsid w:val="00BF7579"/>
    <w:rsid w:val="00BF7DCA"/>
    <w:rsid w:val="00C0017E"/>
    <w:rsid w:val="00C02BCB"/>
    <w:rsid w:val="00C03306"/>
    <w:rsid w:val="00C035D1"/>
    <w:rsid w:val="00C04B19"/>
    <w:rsid w:val="00C10D05"/>
    <w:rsid w:val="00C11930"/>
    <w:rsid w:val="00C1271C"/>
    <w:rsid w:val="00C15893"/>
    <w:rsid w:val="00C15B19"/>
    <w:rsid w:val="00C16619"/>
    <w:rsid w:val="00C20358"/>
    <w:rsid w:val="00C22252"/>
    <w:rsid w:val="00C23819"/>
    <w:rsid w:val="00C2500C"/>
    <w:rsid w:val="00C2755E"/>
    <w:rsid w:val="00C309CD"/>
    <w:rsid w:val="00C3414C"/>
    <w:rsid w:val="00C365A6"/>
    <w:rsid w:val="00C365EC"/>
    <w:rsid w:val="00C3676D"/>
    <w:rsid w:val="00C36A05"/>
    <w:rsid w:val="00C36E22"/>
    <w:rsid w:val="00C37040"/>
    <w:rsid w:val="00C376E3"/>
    <w:rsid w:val="00C4083F"/>
    <w:rsid w:val="00C40A77"/>
    <w:rsid w:val="00C41BA2"/>
    <w:rsid w:val="00C422F9"/>
    <w:rsid w:val="00C449D2"/>
    <w:rsid w:val="00C44AB3"/>
    <w:rsid w:val="00C46A98"/>
    <w:rsid w:val="00C55255"/>
    <w:rsid w:val="00C567C3"/>
    <w:rsid w:val="00C57B70"/>
    <w:rsid w:val="00C60BF5"/>
    <w:rsid w:val="00C62018"/>
    <w:rsid w:val="00C62339"/>
    <w:rsid w:val="00C62764"/>
    <w:rsid w:val="00C63F39"/>
    <w:rsid w:val="00C6535F"/>
    <w:rsid w:val="00C65531"/>
    <w:rsid w:val="00C665F0"/>
    <w:rsid w:val="00C67A16"/>
    <w:rsid w:val="00C7022E"/>
    <w:rsid w:val="00C705DF"/>
    <w:rsid w:val="00C71C5C"/>
    <w:rsid w:val="00C721AF"/>
    <w:rsid w:val="00C74E79"/>
    <w:rsid w:val="00C7581C"/>
    <w:rsid w:val="00C768B0"/>
    <w:rsid w:val="00C77A55"/>
    <w:rsid w:val="00C77B01"/>
    <w:rsid w:val="00C80ADD"/>
    <w:rsid w:val="00C81C0E"/>
    <w:rsid w:val="00C83380"/>
    <w:rsid w:val="00C835FE"/>
    <w:rsid w:val="00C852BB"/>
    <w:rsid w:val="00C86FD4"/>
    <w:rsid w:val="00C90717"/>
    <w:rsid w:val="00C90F8D"/>
    <w:rsid w:val="00C957F8"/>
    <w:rsid w:val="00C95888"/>
    <w:rsid w:val="00C97EB1"/>
    <w:rsid w:val="00CA302A"/>
    <w:rsid w:val="00CA35F1"/>
    <w:rsid w:val="00CA5E65"/>
    <w:rsid w:val="00CB0245"/>
    <w:rsid w:val="00CB0417"/>
    <w:rsid w:val="00CB1C53"/>
    <w:rsid w:val="00CB2890"/>
    <w:rsid w:val="00CB54DD"/>
    <w:rsid w:val="00CB6BD0"/>
    <w:rsid w:val="00CC397A"/>
    <w:rsid w:val="00CC725D"/>
    <w:rsid w:val="00CC7B72"/>
    <w:rsid w:val="00CD032B"/>
    <w:rsid w:val="00CD05FA"/>
    <w:rsid w:val="00CD0A3A"/>
    <w:rsid w:val="00CD271B"/>
    <w:rsid w:val="00CD322F"/>
    <w:rsid w:val="00CD3BB2"/>
    <w:rsid w:val="00CD55E8"/>
    <w:rsid w:val="00CD5A16"/>
    <w:rsid w:val="00CD6BE7"/>
    <w:rsid w:val="00CE16E1"/>
    <w:rsid w:val="00CE19F2"/>
    <w:rsid w:val="00CE2615"/>
    <w:rsid w:val="00CE269E"/>
    <w:rsid w:val="00CE3A3E"/>
    <w:rsid w:val="00CE4C9C"/>
    <w:rsid w:val="00CE51EE"/>
    <w:rsid w:val="00CE54DE"/>
    <w:rsid w:val="00CE6184"/>
    <w:rsid w:val="00CE6197"/>
    <w:rsid w:val="00CF02DF"/>
    <w:rsid w:val="00CF4282"/>
    <w:rsid w:val="00CF5FA4"/>
    <w:rsid w:val="00CF698A"/>
    <w:rsid w:val="00D0001F"/>
    <w:rsid w:val="00D01CAF"/>
    <w:rsid w:val="00D01EA6"/>
    <w:rsid w:val="00D0344F"/>
    <w:rsid w:val="00D04FEA"/>
    <w:rsid w:val="00D0575A"/>
    <w:rsid w:val="00D10FF7"/>
    <w:rsid w:val="00D117B1"/>
    <w:rsid w:val="00D13276"/>
    <w:rsid w:val="00D142CB"/>
    <w:rsid w:val="00D16678"/>
    <w:rsid w:val="00D20127"/>
    <w:rsid w:val="00D21335"/>
    <w:rsid w:val="00D220FB"/>
    <w:rsid w:val="00D22D27"/>
    <w:rsid w:val="00D23445"/>
    <w:rsid w:val="00D237CE"/>
    <w:rsid w:val="00D256E8"/>
    <w:rsid w:val="00D2613D"/>
    <w:rsid w:val="00D30605"/>
    <w:rsid w:val="00D32EE5"/>
    <w:rsid w:val="00D332AD"/>
    <w:rsid w:val="00D33E19"/>
    <w:rsid w:val="00D340E4"/>
    <w:rsid w:val="00D35446"/>
    <w:rsid w:val="00D40274"/>
    <w:rsid w:val="00D40B0E"/>
    <w:rsid w:val="00D4266D"/>
    <w:rsid w:val="00D42F3B"/>
    <w:rsid w:val="00D457ED"/>
    <w:rsid w:val="00D45D4D"/>
    <w:rsid w:val="00D45F8F"/>
    <w:rsid w:val="00D46D3A"/>
    <w:rsid w:val="00D4752D"/>
    <w:rsid w:val="00D47BEB"/>
    <w:rsid w:val="00D515D0"/>
    <w:rsid w:val="00D51AA2"/>
    <w:rsid w:val="00D520F2"/>
    <w:rsid w:val="00D532CF"/>
    <w:rsid w:val="00D5488E"/>
    <w:rsid w:val="00D54EE9"/>
    <w:rsid w:val="00D553D1"/>
    <w:rsid w:val="00D55AF1"/>
    <w:rsid w:val="00D5700D"/>
    <w:rsid w:val="00D570D6"/>
    <w:rsid w:val="00D572F0"/>
    <w:rsid w:val="00D57B7A"/>
    <w:rsid w:val="00D60E2E"/>
    <w:rsid w:val="00D61A1B"/>
    <w:rsid w:val="00D61E13"/>
    <w:rsid w:val="00D6323A"/>
    <w:rsid w:val="00D658D0"/>
    <w:rsid w:val="00D6798F"/>
    <w:rsid w:val="00D7006B"/>
    <w:rsid w:val="00D729C0"/>
    <w:rsid w:val="00D73285"/>
    <w:rsid w:val="00D74345"/>
    <w:rsid w:val="00D74A46"/>
    <w:rsid w:val="00D76C9B"/>
    <w:rsid w:val="00D76EC0"/>
    <w:rsid w:val="00D77F4F"/>
    <w:rsid w:val="00D80B74"/>
    <w:rsid w:val="00D80C80"/>
    <w:rsid w:val="00D822AE"/>
    <w:rsid w:val="00D831DD"/>
    <w:rsid w:val="00D836ED"/>
    <w:rsid w:val="00D8534A"/>
    <w:rsid w:val="00D86CA4"/>
    <w:rsid w:val="00D87DA9"/>
    <w:rsid w:val="00D91598"/>
    <w:rsid w:val="00D92908"/>
    <w:rsid w:val="00D92F81"/>
    <w:rsid w:val="00D97AE8"/>
    <w:rsid w:val="00D97C80"/>
    <w:rsid w:val="00DA142A"/>
    <w:rsid w:val="00DA18AE"/>
    <w:rsid w:val="00DA330F"/>
    <w:rsid w:val="00DA46EC"/>
    <w:rsid w:val="00DA49EA"/>
    <w:rsid w:val="00DA53B1"/>
    <w:rsid w:val="00DA69F8"/>
    <w:rsid w:val="00DB14B1"/>
    <w:rsid w:val="00DB296A"/>
    <w:rsid w:val="00DB62B8"/>
    <w:rsid w:val="00DB6E2D"/>
    <w:rsid w:val="00DB7049"/>
    <w:rsid w:val="00DB7320"/>
    <w:rsid w:val="00DB74AD"/>
    <w:rsid w:val="00DB7BF5"/>
    <w:rsid w:val="00DC0551"/>
    <w:rsid w:val="00DC5093"/>
    <w:rsid w:val="00DC62BE"/>
    <w:rsid w:val="00DC7683"/>
    <w:rsid w:val="00DC7ACF"/>
    <w:rsid w:val="00DD0F98"/>
    <w:rsid w:val="00DD19F2"/>
    <w:rsid w:val="00DD2A41"/>
    <w:rsid w:val="00DD50B5"/>
    <w:rsid w:val="00DD57C6"/>
    <w:rsid w:val="00DD5F29"/>
    <w:rsid w:val="00DD6C11"/>
    <w:rsid w:val="00DD75FF"/>
    <w:rsid w:val="00DD7990"/>
    <w:rsid w:val="00DE088C"/>
    <w:rsid w:val="00DE1A6A"/>
    <w:rsid w:val="00DE2E28"/>
    <w:rsid w:val="00DE4258"/>
    <w:rsid w:val="00DE4C70"/>
    <w:rsid w:val="00DE6B3D"/>
    <w:rsid w:val="00DF3FFD"/>
    <w:rsid w:val="00DF44DF"/>
    <w:rsid w:val="00DF5032"/>
    <w:rsid w:val="00E01076"/>
    <w:rsid w:val="00E01A5A"/>
    <w:rsid w:val="00E02152"/>
    <w:rsid w:val="00E022B3"/>
    <w:rsid w:val="00E02CD6"/>
    <w:rsid w:val="00E0426E"/>
    <w:rsid w:val="00E05212"/>
    <w:rsid w:val="00E05AEF"/>
    <w:rsid w:val="00E11361"/>
    <w:rsid w:val="00E11BE2"/>
    <w:rsid w:val="00E11EB9"/>
    <w:rsid w:val="00E1309C"/>
    <w:rsid w:val="00E1388A"/>
    <w:rsid w:val="00E13EC6"/>
    <w:rsid w:val="00E153E6"/>
    <w:rsid w:val="00E16368"/>
    <w:rsid w:val="00E16882"/>
    <w:rsid w:val="00E17ED8"/>
    <w:rsid w:val="00E20D41"/>
    <w:rsid w:val="00E22A7F"/>
    <w:rsid w:val="00E25122"/>
    <w:rsid w:val="00E2525B"/>
    <w:rsid w:val="00E25CBC"/>
    <w:rsid w:val="00E25D6A"/>
    <w:rsid w:val="00E26D11"/>
    <w:rsid w:val="00E26D8C"/>
    <w:rsid w:val="00E3016D"/>
    <w:rsid w:val="00E30C2A"/>
    <w:rsid w:val="00E313F7"/>
    <w:rsid w:val="00E3179F"/>
    <w:rsid w:val="00E31FB4"/>
    <w:rsid w:val="00E320D6"/>
    <w:rsid w:val="00E33E87"/>
    <w:rsid w:val="00E342CF"/>
    <w:rsid w:val="00E34534"/>
    <w:rsid w:val="00E34B93"/>
    <w:rsid w:val="00E34E91"/>
    <w:rsid w:val="00E37501"/>
    <w:rsid w:val="00E42510"/>
    <w:rsid w:val="00E42FF7"/>
    <w:rsid w:val="00E43CAA"/>
    <w:rsid w:val="00E478C3"/>
    <w:rsid w:val="00E479A5"/>
    <w:rsid w:val="00E50854"/>
    <w:rsid w:val="00E51917"/>
    <w:rsid w:val="00E5494F"/>
    <w:rsid w:val="00E54DF8"/>
    <w:rsid w:val="00E55E78"/>
    <w:rsid w:val="00E60039"/>
    <w:rsid w:val="00E621F7"/>
    <w:rsid w:val="00E6257A"/>
    <w:rsid w:val="00E626EF"/>
    <w:rsid w:val="00E6272C"/>
    <w:rsid w:val="00E62D6E"/>
    <w:rsid w:val="00E633B3"/>
    <w:rsid w:val="00E6366D"/>
    <w:rsid w:val="00E63794"/>
    <w:rsid w:val="00E6414A"/>
    <w:rsid w:val="00E6597D"/>
    <w:rsid w:val="00E66812"/>
    <w:rsid w:val="00E66AE9"/>
    <w:rsid w:val="00E66B8A"/>
    <w:rsid w:val="00E67DA5"/>
    <w:rsid w:val="00E70402"/>
    <w:rsid w:val="00E70C8E"/>
    <w:rsid w:val="00E70FBF"/>
    <w:rsid w:val="00E7213A"/>
    <w:rsid w:val="00E72785"/>
    <w:rsid w:val="00E72B17"/>
    <w:rsid w:val="00E74535"/>
    <w:rsid w:val="00E7454A"/>
    <w:rsid w:val="00E74EC3"/>
    <w:rsid w:val="00E752A5"/>
    <w:rsid w:val="00E76B8E"/>
    <w:rsid w:val="00E771BA"/>
    <w:rsid w:val="00E77A87"/>
    <w:rsid w:val="00E8022C"/>
    <w:rsid w:val="00E824CC"/>
    <w:rsid w:val="00E84CB9"/>
    <w:rsid w:val="00E84FC5"/>
    <w:rsid w:val="00E85860"/>
    <w:rsid w:val="00E85C97"/>
    <w:rsid w:val="00E86518"/>
    <w:rsid w:val="00E91235"/>
    <w:rsid w:val="00E9247E"/>
    <w:rsid w:val="00E93770"/>
    <w:rsid w:val="00E9405F"/>
    <w:rsid w:val="00E95C26"/>
    <w:rsid w:val="00E974E8"/>
    <w:rsid w:val="00EA1E9C"/>
    <w:rsid w:val="00EA2B48"/>
    <w:rsid w:val="00EA3703"/>
    <w:rsid w:val="00EA4539"/>
    <w:rsid w:val="00EA4AFD"/>
    <w:rsid w:val="00EA5EE6"/>
    <w:rsid w:val="00EA6394"/>
    <w:rsid w:val="00EA63C8"/>
    <w:rsid w:val="00EA6BB6"/>
    <w:rsid w:val="00EB0376"/>
    <w:rsid w:val="00EB0404"/>
    <w:rsid w:val="00EB1AE3"/>
    <w:rsid w:val="00EB3F65"/>
    <w:rsid w:val="00EB4451"/>
    <w:rsid w:val="00EB4DCB"/>
    <w:rsid w:val="00EB5390"/>
    <w:rsid w:val="00EB5DE7"/>
    <w:rsid w:val="00EB7035"/>
    <w:rsid w:val="00EB7D74"/>
    <w:rsid w:val="00EC054F"/>
    <w:rsid w:val="00EC1D9C"/>
    <w:rsid w:val="00EC33F5"/>
    <w:rsid w:val="00EC3567"/>
    <w:rsid w:val="00EC3895"/>
    <w:rsid w:val="00EC4C40"/>
    <w:rsid w:val="00EC68E5"/>
    <w:rsid w:val="00EC758A"/>
    <w:rsid w:val="00EC77F1"/>
    <w:rsid w:val="00EC7DF0"/>
    <w:rsid w:val="00ED0AEA"/>
    <w:rsid w:val="00ED129A"/>
    <w:rsid w:val="00ED1B27"/>
    <w:rsid w:val="00ED2DF6"/>
    <w:rsid w:val="00ED34EE"/>
    <w:rsid w:val="00ED3A6E"/>
    <w:rsid w:val="00ED4073"/>
    <w:rsid w:val="00ED4E94"/>
    <w:rsid w:val="00EE070D"/>
    <w:rsid w:val="00EE0DC8"/>
    <w:rsid w:val="00EE139B"/>
    <w:rsid w:val="00EE2A2A"/>
    <w:rsid w:val="00EE2CB9"/>
    <w:rsid w:val="00EE3222"/>
    <w:rsid w:val="00EE4621"/>
    <w:rsid w:val="00EE4B4A"/>
    <w:rsid w:val="00EE5622"/>
    <w:rsid w:val="00EE5CB3"/>
    <w:rsid w:val="00EE783D"/>
    <w:rsid w:val="00EF08AA"/>
    <w:rsid w:val="00EF100A"/>
    <w:rsid w:val="00EF1E74"/>
    <w:rsid w:val="00EF1FBF"/>
    <w:rsid w:val="00EF36C9"/>
    <w:rsid w:val="00EF3D85"/>
    <w:rsid w:val="00EF4F25"/>
    <w:rsid w:val="00F000A1"/>
    <w:rsid w:val="00F005C0"/>
    <w:rsid w:val="00F00C16"/>
    <w:rsid w:val="00F04CF6"/>
    <w:rsid w:val="00F065E2"/>
    <w:rsid w:val="00F10D11"/>
    <w:rsid w:val="00F11D38"/>
    <w:rsid w:val="00F11F07"/>
    <w:rsid w:val="00F12AFB"/>
    <w:rsid w:val="00F12FF0"/>
    <w:rsid w:val="00F14C46"/>
    <w:rsid w:val="00F14FA8"/>
    <w:rsid w:val="00F15899"/>
    <w:rsid w:val="00F15C0F"/>
    <w:rsid w:val="00F162F8"/>
    <w:rsid w:val="00F2089C"/>
    <w:rsid w:val="00F21167"/>
    <w:rsid w:val="00F21961"/>
    <w:rsid w:val="00F245A2"/>
    <w:rsid w:val="00F268AB"/>
    <w:rsid w:val="00F26DAE"/>
    <w:rsid w:val="00F273F7"/>
    <w:rsid w:val="00F274AC"/>
    <w:rsid w:val="00F27502"/>
    <w:rsid w:val="00F27B04"/>
    <w:rsid w:val="00F32267"/>
    <w:rsid w:val="00F354C0"/>
    <w:rsid w:val="00F36307"/>
    <w:rsid w:val="00F37D53"/>
    <w:rsid w:val="00F4130E"/>
    <w:rsid w:val="00F4214A"/>
    <w:rsid w:val="00F4368B"/>
    <w:rsid w:val="00F4717E"/>
    <w:rsid w:val="00F47257"/>
    <w:rsid w:val="00F472EC"/>
    <w:rsid w:val="00F51090"/>
    <w:rsid w:val="00F5187F"/>
    <w:rsid w:val="00F51EA8"/>
    <w:rsid w:val="00F52E94"/>
    <w:rsid w:val="00F532A9"/>
    <w:rsid w:val="00F53B3B"/>
    <w:rsid w:val="00F55F80"/>
    <w:rsid w:val="00F560AA"/>
    <w:rsid w:val="00F56188"/>
    <w:rsid w:val="00F563C4"/>
    <w:rsid w:val="00F56EAE"/>
    <w:rsid w:val="00F60F40"/>
    <w:rsid w:val="00F63492"/>
    <w:rsid w:val="00F6374D"/>
    <w:rsid w:val="00F64BF2"/>
    <w:rsid w:val="00F64C8E"/>
    <w:rsid w:val="00F66586"/>
    <w:rsid w:val="00F66756"/>
    <w:rsid w:val="00F71149"/>
    <w:rsid w:val="00F72412"/>
    <w:rsid w:val="00F72A64"/>
    <w:rsid w:val="00F72F12"/>
    <w:rsid w:val="00F73EB4"/>
    <w:rsid w:val="00F7485C"/>
    <w:rsid w:val="00F75DCF"/>
    <w:rsid w:val="00F7649D"/>
    <w:rsid w:val="00F76940"/>
    <w:rsid w:val="00F76941"/>
    <w:rsid w:val="00F76ADB"/>
    <w:rsid w:val="00F80804"/>
    <w:rsid w:val="00F8102E"/>
    <w:rsid w:val="00F82EFE"/>
    <w:rsid w:val="00F8481E"/>
    <w:rsid w:val="00F84BB8"/>
    <w:rsid w:val="00F84DD1"/>
    <w:rsid w:val="00F84E53"/>
    <w:rsid w:val="00F8591B"/>
    <w:rsid w:val="00F863BE"/>
    <w:rsid w:val="00F87046"/>
    <w:rsid w:val="00F90929"/>
    <w:rsid w:val="00F9151E"/>
    <w:rsid w:val="00F91E42"/>
    <w:rsid w:val="00F9291C"/>
    <w:rsid w:val="00F93B6D"/>
    <w:rsid w:val="00F94714"/>
    <w:rsid w:val="00F954C1"/>
    <w:rsid w:val="00F9586F"/>
    <w:rsid w:val="00F95C89"/>
    <w:rsid w:val="00F95F99"/>
    <w:rsid w:val="00F97372"/>
    <w:rsid w:val="00F97BC0"/>
    <w:rsid w:val="00FA0B91"/>
    <w:rsid w:val="00FA11C8"/>
    <w:rsid w:val="00FA1B2A"/>
    <w:rsid w:val="00FA1CF9"/>
    <w:rsid w:val="00FA4E9B"/>
    <w:rsid w:val="00FA548A"/>
    <w:rsid w:val="00FA6313"/>
    <w:rsid w:val="00FB077B"/>
    <w:rsid w:val="00FB0E46"/>
    <w:rsid w:val="00FB1C9B"/>
    <w:rsid w:val="00FB2DD2"/>
    <w:rsid w:val="00FB31C9"/>
    <w:rsid w:val="00FB3E95"/>
    <w:rsid w:val="00FB4CDC"/>
    <w:rsid w:val="00FB66F5"/>
    <w:rsid w:val="00FC2F05"/>
    <w:rsid w:val="00FC41CF"/>
    <w:rsid w:val="00FC47D1"/>
    <w:rsid w:val="00FC5307"/>
    <w:rsid w:val="00FC6BF4"/>
    <w:rsid w:val="00FD00B8"/>
    <w:rsid w:val="00FD066D"/>
    <w:rsid w:val="00FD3B7C"/>
    <w:rsid w:val="00FD3F11"/>
    <w:rsid w:val="00FD43DA"/>
    <w:rsid w:val="00FD6DB8"/>
    <w:rsid w:val="00FD78B3"/>
    <w:rsid w:val="00FD7A93"/>
    <w:rsid w:val="00FE3250"/>
    <w:rsid w:val="00FE50B4"/>
    <w:rsid w:val="00FE535A"/>
    <w:rsid w:val="00FE700A"/>
    <w:rsid w:val="00FE7A0F"/>
    <w:rsid w:val="00FF131F"/>
    <w:rsid w:val="00FF33EA"/>
    <w:rsid w:val="00FF35F6"/>
    <w:rsid w:val="00FF3A1D"/>
    <w:rsid w:val="00FF54E9"/>
    <w:rsid w:val="00FF5D7F"/>
    <w:rsid w:val="00FF5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4097"/>
    <o:shapelayout v:ext="edit">
      <o:idmap v:ext="edit" data="1"/>
    </o:shapelayout>
  </w:shapeDefaults>
  <w:decimalSymbol w:val=","/>
  <w:listSeparator w:val=";"/>
  <w14:docId w14:val="0ED615D1"/>
  <w15:docId w15:val="{18D256D7-7AB6-4B58-B7AF-B9D1CA5F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A99"/>
    <w:rPr>
      <w:sz w:val="24"/>
      <w:szCs w:val="24"/>
    </w:rPr>
  </w:style>
  <w:style w:type="paragraph" w:styleId="Nadpis1">
    <w:name w:val="heading 1"/>
    <w:basedOn w:val="Normln"/>
    <w:next w:val="Normln"/>
    <w:link w:val="Nadpis1Char"/>
    <w:uiPriority w:val="9"/>
    <w:qFormat/>
    <w:pPr>
      <w:keepNext/>
      <w:jc w:val="center"/>
      <w:outlineLvl w:val="0"/>
    </w:pPr>
    <w:rPr>
      <w:b/>
      <w:bCs/>
      <w:caps/>
    </w:rPr>
  </w:style>
  <w:style w:type="paragraph" w:styleId="Nadpis2">
    <w:name w:val="heading 2"/>
    <w:aliases w:val="Nadpis nižší úrovnì,Nadpis nižší úrovni"/>
    <w:basedOn w:val="Normln"/>
    <w:next w:val="Normln"/>
    <w:link w:val="Nadpis2Char"/>
    <w:qFormat/>
    <w:pPr>
      <w:keepNext/>
      <w:outlineLvl w:val="1"/>
    </w:pPr>
    <w:rPr>
      <w:b/>
      <w:bCs/>
    </w:rPr>
  </w:style>
  <w:style w:type="paragraph" w:styleId="Nadpis3">
    <w:name w:val="heading 3"/>
    <w:basedOn w:val="Normln"/>
    <w:next w:val="Normln"/>
    <w:link w:val="Nadpis3Char"/>
    <w:qFormat/>
    <w:pPr>
      <w:keepNext/>
      <w:jc w:val="center"/>
      <w:outlineLvl w:val="2"/>
    </w:pPr>
    <w:rPr>
      <w:b/>
      <w:bCs/>
      <w:color w:val="3366FF"/>
      <w:sz w:val="40"/>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keepNext/>
      <w:jc w:val="both"/>
      <w:outlineLvl w:val="7"/>
    </w:pPr>
    <w:rPr>
      <w:b/>
      <w:bCs/>
    </w:rPr>
  </w:style>
  <w:style w:type="paragraph" w:styleId="Nadpis9">
    <w:name w:val="heading 9"/>
    <w:basedOn w:val="Normln"/>
    <w:next w:val="Normln"/>
    <w:qFormat/>
    <w:pPr>
      <w:keepNext/>
      <w:ind w:firstLine="720"/>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styleId="Hypertextovodkaz">
    <w:name w:val="Hyperlink"/>
    <w:uiPriority w:val="99"/>
    <w:rPr>
      <w:color w:val="0000FF"/>
      <w:u w:val="single"/>
    </w:r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ind w:left="360" w:hanging="360"/>
    </w:pPr>
  </w:style>
  <w:style w:type="paragraph" w:styleId="Zkladntextodsazen2">
    <w:name w:val="Body Text Indent 2"/>
    <w:basedOn w:val="Normln"/>
    <w:pPr>
      <w:ind w:left="1080" w:hanging="1080"/>
    </w:pPr>
  </w:style>
  <w:style w:type="paragraph" w:styleId="Zkladntextodsazen3">
    <w:name w:val="Body Text Indent 3"/>
    <w:basedOn w:val="Normln"/>
    <w:link w:val="Zkladntextodsazen3Char"/>
    <w:pPr>
      <w:ind w:left="360" w:hanging="360"/>
      <w:jc w:val="both"/>
    </w:pPr>
  </w:style>
  <w:style w:type="paragraph" w:styleId="Zkladntext">
    <w:name w:val="Body Text"/>
    <w:aliases w:val="termo,Základní text Char Char,Základní text Char Char Char Char,Základní text Char Char Char Char Char Char,Základní text Char Char Cha,Základní text Char Char Char Char Char Char Char Char Char,Základní text1,Základní text Char Char1"/>
    <w:basedOn w:val="Normln"/>
    <w:link w:val="ZkladntextChar"/>
    <w:uiPriority w:val="99"/>
    <w:pPr>
      <w:jc w:val="both"/>
    </w:pPr>
  </w:style>
  <w:style w:type="paragraph" w:styleId="Zkladntext3">
    <w:name w:val="Body Text 3"/>
    <w:basedOn w:val="Normln"/>
    <w:link w:val="Zkladntext3Char"/>
    <w:pPr>
      <w:spacing w:after="120"/>
    </w:pPr>
    <w:rPr>
      <w:sz w:val="16"/>
      <w:szCs w:val="16"/>
    </w:rPr>
  </w:style>
  <w:style w:type="paragraph" w:customStyle="1" w:styleId="KoptekstKenmerkenVast">
    <w:name w:val="Koptekst_Kenmerken_Vast"/>
    <w:basedOn w:val="Normln"/>
    <w:pPr>
      <w:framePr w:hSpace="181" w:wrap="around" w:vAnchor="page" w:hAnchor="page" w:x="6362" w:y="2740"/>
      <w:widowControl w:val="0"/>
      <w:spacing w:line="280" w:lineRule="atLeast"/>
      <w:jc w:val="both"/>
    </w:pPr>
    <w:rPr>
      <w:rFonts w:ascii="Arial" w:hAnsi="Arial"/>
      <w:kern w:val="6"/>
      <w:position w:val="4"/>
      <w:sz w:val="15"/>
      <w:szCs w:val="20"/>
    </w:rPr>
  </w:style>
  <w:style w:type="paragraph" w:styleId="Textbubliny">
    <w:name w:val="Balloon Text"/>
    <w:basedOn w:val="Normln"/>
    <w:link w:val="TextbublinyChar"/>
    <w:uiPriority w:val="99"/>
    <w:semiHidden/>
    <w:rPr>
      <w:rFonts w:ascii="Tahoma" w:hAnsi="Tahoma" w:cs="Tahoma"/>
      <w:sz w:val="16"/>
      <w:szCs w:val="16"/>
    </w:rPr>
  </w:style>
  <w:style w:type="paragraph" w:styleId="Zkladntext2">
    <w:name w:val="Body Text 2"/>
    <w:basedOn w:val="Normln"/>
    <w:pPr>
      <w:spacing w:after="120" w:line="480" w:lineRule="auto"/>
    </w:pPr>
  </w:style>
  <w:style w:type="paragraph" w:customStyle="1" w:styleId="slotabulky">
    <w:name w:val="Číslo tabulky"/>
    <w:basedOn w:val="Normln"/>
    <w:next w:val="Normln"/>
    <w:pPr>
      <w:spacing w:before="60" w:after="60" w:line="280" w:lineRule="exact"/>
      <w:ind w:left="284" w:hanging="284"/>
      <w:jc w:val="both"/>
    </w:pPr>
    <w:rPr>
      <w:rFonts w:ascii="Arial" w:hAnsi="Arial"/>
      <w:b/>
      <w:sz w:val="18"/>
      <w:szCs w:val="20"/>
    </w:rPr>
  </w:style>
  <w:style w:type="paragraph" w:styleId="Titulek">
    <w:name w:val="caption"/>
    <w:aliases w:val="Titulek-Příloha tab,Titulek (nadpis tabulek),Titulek OBR,Tab.,obrazek, Char Char Char Char Char Char Char Char Char Char Char Char Char Char Char Char Char Char Char Char Char Char Char Char Char Char Char Char, Char"/>
    <w:basedOn w:val="Normln"/>
    <w:next w:val="Normln"/>
    <w:link w:val="TitulekChar"/>
    <w:qFormat/>
    <w:rPr>
      <w:rFonts w:ascii="Arial" w:hAnsi="Arial"/>
      <w:b/>
      <w:i/>
      <w:sz w:val="20"/>
      <w:szCs w:val="20"/>
      <w:lang w:val="x-none" w:eastAsia="x-none"/>
    </w:rPr>
  </w:style>
  <w:style w:type="paragraph" w:styleId="Rejstk1">
    <w:name w:val="index 1"/>
    <w:basedOn w:val="Normln"/>
    <w:next w:val="Normln"/>
    <w:autoRedefine/>
    <w:semiHidden/>
    <w:rsid w:val="003B536D"/>
    <w:pPr>
      <w:spacing w:before="120"/>
      <w:jc w:val="both"/>
    </w:pPr>
  </w:style>
  <w:style w:type="paragraph" w:customStyle="1" w:styleId="Nzevtabulky">
    <w:name w:val="Název tabulky"/>
    <w:basedOn w:val="Normln"/>
    <w:pPr>
      <w:numPr>
        <w:numId w:val="1"/>
      </w:numPr>
      <w:spacing w:after="60"/>
      <w:jc w:val="both"/>
    </w:pPr>
    <w:rPr>
      <w:i/>
      <w:sz w:val="22"/>
      <w:szCs w:val="20"/>
    </w:rPr>
  </w:style>
  <w:style w:type="paragraph" w:styleId="Normlnweb">
    <w:name w:val="Normal (Web)"/>
    <w:aliases w:val="Normální (web) Char"/>
    <w:basedOn w:val="Normln"/>
    <w:uiPriority w:val="99"/>
    <w:rPr>
      <w:sz w:val="21"/>
      <w:szCs w:val="21"/>
    </w:rPr>
  </w:style>
  <w:style w:type="character" w:styleId="Siln">
    <w:name w:val="Strong"/>
    <w:qFormat/>
    <w:rPr>
      <w:b/>
      <w:bCs/>
    </w:rPr>
  </w:style>
  <w:style w:type="paragraph" w:customStyle="1" w:styleId="KoptekstKenmerkenVrij">
    <w:name w:val="Koptekst_Kenmerken_Vrij"/>
    <w:basedOn w:val="Normln"/>
    <w:pPr>
      <w:framePr w:hSpace="181" w:wrap="around" w:vAnchor="page" w:hAnchor="page" w:x="6873" w:y="2737"/>
      <w:widowControl w:val="0"/>
      <w:spacing w:line="280" w:lineRule="atLeast"/>
      <w:ind w:right="142"/>
      <w:jc w:val="right"/>
    </w:pPr>
    <w:rPr>
      <w:rFonts w:ascii="Arial" w:hAnsi="Arial"/>
      <w:sz w:val="19"/>
      <w:szCs w:val="20"/>
    </w:rPr>
  </w:style>
  <w:style w:type="paragraph" w:customStyle="1" w:styleId="KoptekstTebodinVet">
    <w:name w:val="Koptekst_Tebodin_Vet"/>
    <w:basedOn w:val="KoptekstKenmerkenVast"/>
    <w:pPr>
      <w:framePr w:hSpace="0" w:wrap="auto" w:vAnchor="margin" w:hAnchor="text" w:xAlign="left" w:yAlign="inline"/>
      <w:spacing w:line="280" w:lineRule="exact"/>
    </w:pPr>
    <w:rPr>
      <w:b/>
    </w:rPr>
  </w:style>
  <w:style w:type="paragraph" w:customStyle="1" w:styleId="VoettekstBankGegevens">
    <w:name w:val="Voettekst_BankGegevens"/>
    <w:basedOn w:val="KoptekstKenmerkenVast"/>
    <w:pPr>
      <w:framePr w:wrap="around"/>
      <w:spacing w:line="280" w:lineRule="exact"/>
    </w:pPr>
  </w:style>
  <w:style w:type="paragraph" w:customStyle="1" w:styleId="Adresgegevens">
    <w:name w:val="Adresgegevens"/>
    <w:basedOn w:val="Normln"/>
    <w:pPr>
      <w:framePr w:hSpace="181" w:wrap="around" w:vAnchor="text" w:hAnchor="page" w:x="1872" w:y="46" w:anchorLock="1"/>
      <w:widowControl w:val="0"/>
      <w:spacing w:line="280" w:lineRule="atLeast"/>
      <w:jc w:val="both"/>
    </w:pPr>
    <w:rPr>
      <w:rFonts w:ascii="Arial" w:hAnsi="Arial"/>
      <w:sz w:val="19"/>
      <w:szCs w:val="20"/>
    </w:rPr>
  </w:style>
  <w:style w:type="paragraph" w:customStyle="1" w:styleId="Ondertekening">
    <w:name w:val="Ondertekening"/>
    <w:basedOn w:val="Normln"/>
    <w:pPr>
      <w:widowControl w:val="0"/>
      <w:spacing w:before="720" w:line="280" w:lineRule="atLeast"/>
      <w:jc w:val="both"/>
    </w:pPr>
    <w:rPr>
      <w:rFonts w:ascii="Arial" w:hAnsi="Arial"/>
      <w:sz w:val="19"/>
      <w:szCs w:val="20"/>
    </w:rPr>
  </w:style>
  <w:style w:type="paragraph" w:customStyle="1" w:styleId="KoptekstadrTebodin">
    <w:name w:val="Koptekst_adr_Tebodin"/>
    <w:basedOn w:val="Normln"/>
    <w:pPr>
      <w:framePr w:hSpace="181" w:wrap="around" w:vAnchor="page" w:hAnchor="page" w:x="9413" w:y="8676"/>
      <w:widowControl w:val="0"/>
      <w:spacing w:line="280" w:lineRule="atLeast"/>
      <w:jc w:val="both"/>
    </w:pPr>
    <w:rPr>
      <w:rFonts w:ascii="Arial" w:hAnsi="Arial"/>
      <w:kern w:val="6"/>
      <w:position w:val="4"/>
      <w:sz w:val="15"/>
      <w:szCs w:val="20"/>
    </w:rPr>
  </w:style>
  <w:style w:type="paragraph" w:customStyle="1" w:styleId="KopExtraruimte">
    <w:name w:val="Kop_Extraruimte"/>
    <w:basedOn w:val="KoptekstKenmerkenVast"/>
    <w:pPr>
      <w:framePr w:w="2381" w:h="2449" w:wrap="around" w:x="9084" w:anchorLock="1"/>
      <w:tabs>
        <w:tab w:val="left" w:pos="1701"/>
      </w:tabs>
    </w:pPr>
  </w:style>
  <w:style w:type="paragraph" w:customStyle="1" w:styleId="BovenMarge1ePagina">
    <w:name w:val="Boven_Marge_1ePagina"/>
    <w:basedOn w:val="Osloven"/>
    <w:pPr>
      <w:spacing w:after="2040"/>
    </w:pPr>
  </w:style>
  <w:style w:type="paragraph" w:styleId="Osloven">
    <w:name w:val="Salutation"/>
    <w:basedOn w:val="Normln"/>
    <w:next w:val="Normln"/>
    <w:pPr>
      <w:widowControl w:val="0"/>
      <w:spacing w:after="280" w:line="280" w:lineRule="atLeast"/>
      <w:jc w:val="both"/>
    </w:pPr>
    <w:rPr>
      <w:rFonts w:ascii="Arial" w:hAnsi="Arial"/>
      <w:sz w:val="19"/>
      <w:szCs w:val="20"/>
    </w:rPr>
  </w:style>
  <w:style w:type="paragraph" w:customStyle="1" w:styleId="koptekstvervolg">
    <w:name w:val="koptekst_vervolg"/>
    <w:basedOn w:val="Normln"/>
    <w:pPr>
      <w:framePr w:w="2381" w:h="2449" w:hSpace="181" w:wrap="around" w:vAnchor="page" w:hAnchor="page" w:x="9413" w:y="3034" w:anchorLock="1"/>
      <w:widowControl w:val="0"/>
      <w:spacing w:line="280" w:lineRule="atLeast"/>
      <w:jc w:val="both"/>
    </w:pPr>
    <w:rPr>
      <w:rFonts w:ascii="Arial" w:hAnsi="Arial"/>
      <w:b/>
      <w:kern w:val="6"/>
      <w:sz w:val="15"/>
      <w:szCs w:val="20"/>
    </w:rPr>
  </w:style>
  <w:style w:type="paragraph" w:customStyle="1" w:styleId="AuteurNaam">
    <w:name w:val="AuteurNaam"/>
    <w:basedOn w:val="Ondertekening"/>
    <w:pPr>
      <w:spacing w:before="780"/>
    </w:pPr>
  </w:style>
  <w:style w:type="paragraph" w:customStyle="1" w:styleId="AuteurFunctie">
    <w:name w:val="AuteurFunctie"/>
    <w:basedOn w:val="Normln"/>
    <w:pPr>
      <w:widowControl w:val="0"/>
      <w:spacing w:line="280" w:lineRule="atLeast"/>
      <w:jc w:val="both"/>
    </w:pPr>
    <w:rPr>
      <w:rFonts w:ascii="Arial" w:hAnsi="Arial"/>
      <w:sz w:val="19"/>
      <w:szCs w:val="20"/>
    </w:rPr>
  </w:style>
  <w:style w:type="paragraph" w:customStyle="1" w:styleId="75Links">
    <w:name w:val="7_5 Links"/>
    <w:basedOn w:val="Normln"/>
    <w:pPr>
      <w:widowControl w:val="0"/>
      <w:spacing w:line="280" w:lineRule="atLeast"/>
      <w:jc w:val="both"/>
    </w:pPr>
    <w:rPr>
      <w:rFonts w:ascii="Arial" w:hAnsi="Arial"/>
      <w:sz w:val="15"/>
      <w:szCs w:val="20"/>
    </w:rPr>
  </w:style>
  <w:style w:type="paragraph" w:customStyle="1" w:styleId="75Rechts">
    <w:name w:val="7_5 Rechts"/>
    <w:basedOn w:val="75Links"/>
    <w:pPr>
      <w:framePr w:w="7796" w:hSpace="181" w:wrap="around" w:vAnchor="page" w:hAnchor="page" w:x="869" w:y="9413"/>
      <w:jc w:val="right"/>
    </w:pPr>
  </w:style>
  <w:style w:type="paragraph" w:customStyle="1" w:styleId="75LinksBold">
    <w:name w:val="7_5 Links Bold"/>
    <w:basedOn w:val="75Links"/>
    <w:pPr>
      <w:framePr w:hSpace="181" w:wrap="around" w:vAnchor="page" w:hAnchor="page" w:x="2570" w:y="12503"/>
    </w:pPr>
    <w:rPr>
      <w:b/>
    </w:rPr>
  </w:style>
  <w:style w:type="paragraph" w:customStyle="1" w:styleId="Bold">
    <w:name w:val="Bold"/>
    <w:basedOn w:val="Normln"/>
    <w:next w:val="Normln"/>
    <w:pPr>
      <w:widowControl w:val="0"/>
      <w:spacing w:line="280" w:lineRule="atLeast"/>
      <w:jc w:val="both"/>
    </w:pPr>
    <w:rPr>
      <w:rFonts w:ascii="Arial" w:hAnsi="Arial"/>
      <w:b/>
      <w:sz w:val="19"/>
      <w:szCs w:val="20"/>
    </w:rPr>
  </w:style>
  <w:style w:type="paragraph" w:customStyle="1" w:styleId="Rechts">
    <w:name w:val="Rechts"/>
    <w:basedOn w:val="Normln"/>
    <w:pPr>
      <w:widowControl w:val="0"/>
      <w:spacing w:line="280" w:lineRule="atLeast"/>
      <w:jc w:val="right"/>
    </w:pPr>
    <w:rPr>
      <w:rFonts w:ascii="Arial" w:hAnsi="Arial"/>
      <w:sz w:val="19"/>
      <w:szCs w:val="20"/>
    </w:rPr>
  </w:style>
  <w:style w:type="paragraph" w:customStyle="1" w:styleId="NoNumberingHeading1">
    <w:name w:val="NoNumberingHeading1"/>
    <w:basedOn w:val="Nadpis1"/>
    <w:next w:val="Zkladntext"/>
    <w:pPr>
      <w:widowControl w:val="0"/>
      <w:spacing w:after="280" w:line="280" w:lineRule="atLeast"/>
      <w:jc w:val="both"/>
      <w:outlineLvl w:val="9"/>
    </w:pPr>
    <w:rPr>
      <w:rFonts w:ascii="Arial" w:hAnsi="Arial"/>
      <w:bCs w:val="0"/>
      <w:caps w:val="0"/>
      <w:kern w:val="28"/>
      <w:szCs w:val="20"/>
    </w:rPr>
  </w:style>
  <w:style w:type="paragraph" w:customStyle="1" w:styleId="14voor">
    <w:name w:val="14 voor"/>
    <w:basedOn w:val="Bold14voor"/>
    <w:rPr>
      <w:b w:val="0"/>
    </w:rPr>
  </w:style>
  <w:style w:type="paragraph" w:customStyle="1" w:styleId="Bold14voor">
    <w:name w:val="Bold 14 voor"/>
    <w:basedOn w:val="Normln"/>
    <w:pPr>
      <w:widowControl w:val="0"/>
      <w:spacing w:before="280" w:line="280" w:lineRule="atLeast"/>
      <w:jc w:val="both"/>
    </w:pPr>
    <w:rPr>
      <w:rFonts w:ascii="Arial" w:hAnsi="Arial"/>
      <w:b/>
      <w:sz w:val="19"/>
      <w:szCs w:val="20"/>
    </w:rPr>
  </w:style>
  <w:style w:type="paragraph" w:customStyle="1" w:styleId="75LinksVoorblad">
    <w:name w:val="7_5 Links Voorblad"/>
    <w:basedOn w:val="75Links"/>
    <w:pPr>
      <w:framePr w:hSpace="181" w:wrap="around" w:vAnchor="page" w:hAnchor="page" w:x="2570" w:y="12503"/>
    </w:pPr>
  </w:style>
  <w:style w:type="paragraph" w:customStyle="1" w:styleId="H1">
    <w:name w:val="H1"/>
    <w:basedOn w:val="Normln"/>
    <w:next w:val="Zkladntext"/>
    <w:pPr>
      <w:keepNext/>
      <w:widowControl w:val="0"/>
      <w:spacing w:before="140" w:after="280" w:line="280" w:lineRule="atLeast"/>
      <w:jc w:val="both"/>
    </w:pPr>
    <w:rPr>
      <w:rFonts w:ascii="Arial" w:hAnsi="Arial"/>
      <w:b/>
      <w:szCs w:val="20"/>
      <w:lang w:val="de-DE"/>
    </w:rPr>
  </w:style>
  <w:style w:type="paragraph" w:customStyle="1" w:styleId="H2">
    <w:name w:val="H2"/>
    <w:basedOn w:val="H1"/>
    <w:next w:val="Zkladntext"/>
    <w:rPr>
      <w:sz w:val="22"/>
    </w:rPr>
  </w:style>
  <w:style w:type="paragraph" w:customStyle="1" w:styleId="H3">
    <w:name w:val="H3"/>
    <w:basedOn w:val="H1"/>
    <w:next w:val="Zkladntext"/>
    <w:rPr>
      <w:sz w:val="20"/>
    </w:rPr>
  </w:style>
  <w:style w:type="paragraph" w:customStyle="1" w:styleId="H4">
    <w:name w:val="H4"/>
    <w:basedOn w:val="H1"/>
    <w:next w:val="Zkladntext"/>
    <w:rPr>
      <w:sz w:val="19"/>
    </w:rPr>
  </w:style>
  <w:style w:type="paragraph" w:customStyle="1" w:styleId="TebodinFooter">
    <w:name w:val="TebodinFooter"/>
    <w:basedOn w:val="Normln"/>
    <w:pPr>
      <w:framePr w:w="2495" w:h="2268" w:hRule="exact" w:hSpace="142" w:vSpace="142" w:wrap="around" w:vAnchor="page" w:hAnchor="page" w:x="9374" w:y="13978"/>
      <w:widowControl w:val="0"/>
      <w:spacing w:line="280" w:lineRule="atLeast"/>
      <w:jc w:val="both"/>
    </w:pPr>
    <w:rPr>
      <w:rFonts w:ascii="Arial" w:hAnsi="Arial"/>
      <w:sz w:val="15"/>
      <w:szCs w:val="20"/>
    </w:rPr>
  </w:style>
  <w:style w:type="paragraph" w:customStyle="1" w:styleId="Profese">
    <w:name w:val="Profese"/>
    <w:basedOn w:val="Nzev"/>
    <w:pPr>
      <w:framePr w:w="5103" w:h="2835" w:hRule="exact" w:hSpace="181" w:wrap="around" w:vAnchor="page" w:hAnchor="page" w:x="2553" w:y="6380" w:anchorLock="1"/>
      <w:jc w:val="left"/>
    </w:pPr>
    <w:rPr>
      <w:caps w:val="0"/>
      <w:sz w:val="20"/>
    </w:rPr>
  </w:style>
  <w:style w:type="paragraph" w:styleId="Nzev">
    <w:name w:val="Title"/>
    <w:basedOn w:val="Normln"/>
    <w:qFormat/>
    <w:pPr>
      <w:widowControl w:val="0"/>
      <w:spacing w:line="280" w:lineRule="atLeast"/>
      <w:jc w:val="both"/>
    </w:pPr>
    <w:rPr>
      <w:rFonts w:ascii="Arial" w:hAnsi="Arial"/>
      <w:b/>
      <w:caps/>
      <w:sz w:val="26"/>
      <w:szCs w:val="20"/>
    </w:rPr>
  </w:style>
  <w:style w:type="paragraph" w:customStyle="1" w:styleId="st">
    <w:name w:val="Část"/>
    <w:basedOn w:val="Nzev"/>
    <w:pPr>
      <w:framePr w:w="5103" w:h="2835" w:hRule="exact" w:hSpace="181" w:wrap="around" w:vAnchor="page" w:hAnchor="page" w:x="2553" w:y="6380" w:anchorLock="1"/>
      <w:jc w:val="left"/>
    </w:pPr>
  </w:style>
  <w:style w:type="paragraph" w:customStyle="1" w:styleId="Zakzka">
    <w:name w:val="Zakázka"/>
    <w:basedOn w:val="Nzev"/>
    <w:pPr>
      <w:framePr w:w="5103" w:h="2835" w:hRule="exact" w:hSpace="181" w:wrap="around" w:vAnchor="page" w:hAnchor="page" w:x="2553" w:y="6380" w:anchorLock="1"/>
      <w:jc w:val="left"/>
    </w:pPr>
  </w:style>
  <w:style w:type="paragraph" w:customStyle="1" w:styleId="Objekt">
    <w:name w:val="Objekt"/>
    <w:basedOn w:val="Nzev"/>
    <w:pPr>
      <w:framePr w:w="5103" w:h="2835" w:hRule="exact" w:hSpace="181" w:wrap="around" w:vAnchor="page" w:hAnchor="page" w:x="2553" w:y="6380" w:anchorLock="1"/>
      <w:tabs>
        <w:tab w:val="left" w:pos="709"/>
      </w:tabs>
      <w:spacing w:line="240" w:lineRule="auto"/>
      <w:jc w:val="left"/>
    </w:pPr>
    <w:rPr>
      <w:sz w:val="20"/>
    </w:rPr>
  </w:style>
  <w:style w:type="character" w:customStyle="1" w:styleId="NormlnwebCharCharChar">
    <w:name w:val="Normální (web) Char Char Char"/>
    <w:rPr>
      <w:sz w:val="24"/>
      <w:szCs w:val="24"/>
      <w:lang w:val="cs-CZ" w:eastAsia="cs-CZ" w:bidi="ar-SA"/>
    </w:rPr>
  </w:style>
  <w:style w:type="paragraph" w:customStyle="1" w:styleId="Zkladntext21">
    <w:name w:val="Základní text 21"/>
    <w:basedOn w:val="Normln"/>
    <w:pPr>
      <w:widowControl w:val="0"/>
      <w:overflowPunct w:val="0"/>
      <w:autoSpaceDE w:val="0"/>
      <w:autoSpaceDN w:val="0"/>
      <w:adjustRightInd w:val="0"/>
      <w:spacing w:before="240"/>
      <w:ind w:firstLine="709"/>
      <w:jc w:val="both"/>
      <w:textAlignment w:val="baseline"/>
    </w:pPr>
    <w:rPr>
      <w:rFonts w:ascii="Arial" w:hAnsi="Arial" w:cs="Arial"/>
      <w:szCs w:val="20"/>
    </w:rPr>
  </w:style>
  <w:style w:type="paragraph" w:customStyle="1" w:styleId="M308">
    <w:name w:val="M308"/>
    <w:rsid w:val="006113A7"/>
    <w:pPr>
      <w:tabs>
        <w:tab w:val="left" w:pos="-1754"/>
        <w:tab w:val="left" w:pos="-1034"/>
        <w:tab w:val="left" w:pos="-314"/>
        <w:tab w:val="left" w:pos="46"/>
        <w:tab w:val="left" w:pos="766"/>
        <w:tab w:val="left" w:pos="1486"/>
        <w:tab w:val="left" w:pos="2206"/>
        <w:tab w:val="left" w:pos="2926"/>
        <w:tab w:val="left" w:pos="3646"/>
        <w:tab w:val="left" w:pos="4366"/>
        <w:tab w:val="left" w:pos="5086"/>
        <w:tab w:val="left" w:pos="5806"/>
        <w:tab w:val="left" w:pos="6526"/>
        <w:tab w:val="left" w:pos="7246"/>
      </w:tabs>
      <w:suppressAutoHyphens/>
      <w:spacing w:after="24"/>
      <w:jc w:val="both"/>
    </w:pPr>
    <w:rPr>
      <w:spacing w:val="-3"/>
      <w:sz w:val="24"/>
      <w:lang w:val="en-US"/>
    </w:rPr>
  </w:style>
  <w:style w:type="table" w:styleId="Mkatabulky">
    <w:name w:val="Table Grid"/>
    <w:basedOn w:val="Normlntabulka"/>
    <w:rsid w:val="0061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zvrendokumentu">
    <w:name w:val="Rozvržení dokumentu"/>
    <w:basedOn w:val="Normln"/>
    <w:semiHidden/>
    <w:rsid w:val="00F560AA"/>
    <w:pPr>
      <w:shd w:val="clear" w:color="auto" w:fill="000080"/>
    </w:pPr>
    <w:rPr>
      <w:rFonts w:ascii="Tahoma" w:hAnsi="Tahoma" w:cs="Tahoma"/>
      <w:sz w:val="20"/>
      <w:szCs w:val="20"/>
    </w:rPr>
  </w:style>
  <w:style w:type="paragraph" w:customStyle="1" w:styleId="katkaCharCharCharCharCharCharCharCharCharCharCharChar">
    <w:name w:val="katka Char Char Char Char Char Char Char Char Char Char Char Char"/>
    <w:basedOn w:val="Normln"/>
    <w:link w:val="katkaCharCharCharCharCharCharCharCharCharCharCharCharChar"/>
    <w:rsid w:val="00804A2E"/>
    <w:pPr>
      <w:ind w:firstLine="708"/>
      <w:jc w:val="both"/>
    </w:pPr>
  </w:style>
  <w:style w:type="paragraph" w:customStyle="1" w:styleId="katkaCharCharCharCharChar">
    <w:name w:val="katka Char Char Char Char Char"/>
    <w:basedOn w:val="Normln"/>
    <w:rsid w:val="0066291E"/>
    <w:pPr>
      <w:ind w:firstLine="708"/>
      <w:jc w:val="both"/>
    </w:pPr>
  </w:style>
  <w:style w:type="paragraph" w:customStyle="1" w:styleId="Libor11Char">
    <w:name w:val="Libor11 Char"/>
    <w:basedOn w:val="Normln"/>
    <w:link w:val="Libor11CharChar"/>
    <w:rsid w:val="00F72F12"/>
    <w:pPr>
      <w:spacing w:after="120" w:line="300" w:lineRule="atLeast"/>
      <w:ind w:firstLine="709"/>
      <w:jc w:val="both"/>
    </w:pPr>
    <w:rPr>
      <w:snapToGrid w:val="0"/>
      <w:sz w:val="22"/>
      <w:szCs w:val="20"/>
    </w:rPr>
  </w:style>
  <w:style w:type="paragraph" w:customStyle="1" w:styleId="katka">
    <w:name w:val="katka"/>
    <w:basedOn w:val="Normln"/>
    <w:rsid w:val="00E84CB9"/>
    <w:pPr>
      <w:ind w:firstLine="708"/>
      <w:jc w:val="both"/>
    </w:pPr>
  </w:style>
  <w:style w:type="paragraph" w:customStyle="1" w:styleId="katkaCharCharCharCharCharCharCharCharCharCharCharCharCharCharCharCharCharCharCharCharCharCharChar">
    <w:name w:val="katka Char Char Char Char Char Char Char Char Char Char Char Char Char Char Char Char Char Char Char Char Char Char Char"/>
    <w:basedOn w:val="Normln"/>
    <w:link w:val="katkaCharCharCharCharCharCharCharCharCharCharCharCharCharCharCharCharCharCharCharCharCharCharCharChar"/>
    <w:rsid w:val="003E0C3F"/>
    <w:pPr>
      <w:ind w:firstLine="708"/>
      <w:jc w:val="both"/>
    </w:pPr>
  </w:style>
  <w:style w:type="character" w:customStyle="1" w:styleId="katkaCharCharCharCharCharCharCharCharCharCharCharCharCharCharCharCharCharCharCharCharCharCharCharChar">
    <w:name w:val="katka Char Char Char Char Char Char Char Char Char Char Char Char Char Char Char Char Char Char Char Char Char Char Char Char"/>
    <w:link w:val="katkaCharCharCharCharCharCharCharCharCharCharCharCharCharCharCharCharCharCharCharCharCharCharChar"/>
    <w:rsid w:val="003E0C3F"/>
    <w:rPr>
      <w:sz w:val="24"/>
      <w:szCs w:val="24"/>
      <w:lang w:val="cs-CZ" w:eastAsia="cs-CZ" w:bidi="ar-SA"/>
    </w:rPr>
  </w:style>
  <w:style w:type="character" w:customStyle="1" w:styleId="Libor11CharChar">
    <w:name w:val="Libor11 Char Char"/>
    <w:link w:val="Libor11Char"/>
    <w:rsid w:val="00834AC1"/>
    <w:rPr>
      <w:snapToGrid w:val="0"/>
      <w:sz w:val="22"/>
      <w:lang w:val="cs-CZ" w:eastAsia="cs-CZ" w:bidi="ar-SA"/>
    </w:rPr>
  </w:style>
  <w:style w:type="paragraph" w:customStyle="1" w:styleId="Libor11">
    <w:name w:val="Libor11"/>
    <w:basedOn w:val="Normln"/>
    <w:rsid w:val="00834AC1"/>
    <w:pPr>
      <w:spacing w:after="120" w:line="300" w:lineRule="atLeast"/>
      <w:ind w:firstLine="709"/>
      <w:jc w:val="both"/>
    </w:pPr>
    <w:rPr>
      <w:snapToGrid w:val="0"/>
      <w:sz w:val="22"/>
      <w:szCs w:val="20"/>
    </w:rPr>
  </w:style>
  <w:style w:type="character" w:customStyle="1" w:styleId="katkaCharCharCharCharCharCharCharCharCharCharCharCharChar">
    <w:name w:val="katka Char Char Char Char Char Char Char Char Char Char Char Char Char"/>
    <w:link w:val="katkaCharCharCharCharCharCharCharCharCharCharCharChar"/>
    <w:rsid w:val="005A7CE4"/>
    <w:rPr>
      <w:sz w:val="24"/>
      <w:szCs w:val="24"/>
      <w:lang w:val="cs-CZ" w:eastAsia="cs-CZ" w:bidi="ar-SA"/>
    </w:rPr>
  </w:style>
  <w:style w:type="paragraph" w:styleId="Seznamsodrkami5">
    <w:name w:val="List Bullet 5"/>
    <w:basedOn w:val="Normln"/>
    <w:autoRedefine/>
    <w:rsid w:val="00C36E22"/>
    <w:pPr>
      <w:numPr>
        <w:numId w:val="3"/>
      </w:numPr>
    </w:pPr>
    <w:rPr>
      <w:sz w:val="20"/>
      <w:szCs w:val="20"/>
    </w:rPr>
  </w:style>
  <w:style w:type="paragraph" w:customStyle="1" w:styleId="EIA">
    <w:name w:val="EIA"/>
    <w:rsid w:val="001A0901"/>
    <w:pPr>
      <w:tabs>
        <w:tab w:val="left" w:pos="-720"/>
      </w:tabs>
      <w:suppressAutoHyphens/>
      <w:spacing w:line="288" w:lineRule="auto"/>
      <w:jc w:val="both"/>
    </w:pPr>
    <w:rPr>
      <w:spacing w:val="-2"/>
      <w:sz w:val="24"/>
    </w:rPr>
  </w:style>
  <w:style w:type="paragraph" w:customStyle="1" w:styleId="Zkladntext20">
    <w:name w:val="Základní text2"/>
    <w:rsid w:val="002C11C6"/>
    <w:rPr>
      <w:rFonts w:ascii="CG Times" w:hAnsi="CG Times"/>
      <w:color w:val="000000"/>
      <w:sz w:val="24"/>
      <w:lang w:val="en-US" w:eastAsia="zh-CN"/>
    </w:rPr>
  </w:style>
  <w:style w:type="paragraph" w:customStyle="1" w:styleId="Zprava2">
    <w:name w:val="Zprava2"/>
    <w:basedOn w:val="Normln"/>
    <w:rsid w:val="002E3CC1"/>
    <w:pPr>
      <w:spacing w:after="120" w:line="360" w:lineRule="auto"/>
      <w:ind w:firstLine="567"/>
      <w:jc w:val="both"/>
    </w:pPr>
    <w:rPr>
      <w:szCs w:val="20"/>
      <w:lang w:eastAsia="zh-CN"/>
    </w:rPr>
  </w:style>
  <w:style w:type="paragraph" w:customStyle="1" w:styleId="Normlnprvnodstavec">
    <w:name w:val="Normální_první odstavec"/>
    <w:basedOn w:val="Normln"/>
    <w:rsid w:val="003A5A2F"/>
    <w:pPr>
      <w:spacing w:before="120"/>
    </w:pPr>
    <w:rPr>
      <w:szCs w:val="20"/>
    </w:rPr>
  </w:style>
  <w:style w:type="paragraph" w:customStyle="1" w:styleId="slovanseznam2a">
    <w:name w:val="číslovaný seznam 2a"/>
    <w:basedOn w:val="slovanseznam"/>
    <w:rsid w:val="00F90929"/>
    <w:pPr>
      <w:numPr>
        <w:numId w:val="0"/>
      </w:numPr>
      <w:spacing w:before="40" w:after="40"/>
      <w:jc w:val="both"/>
    </w:pPr>
    <w:rPr>
      <w:snapToGrid w:val="0"/>
      <w:szCs w:val="20"/>
    </w:rPr>
  </w:style>
  <w:style w:type="paragraph" w:styleId="slovanseznam">
    <w:name w:val="List Number"/>
    <w:basedOn w:val="Normln"/>
    <w:rsid w:val="00F90929"/>
    <w:pPr>
      <w:numPr>
        <w:numId w:val="4"/>
      </w:numPr>
    </w:pPr>
  </w:style>
  <w:style w:type="paragraph" w:customStyle="1" w:styleId="Normalizovan">
    <w:name w:val="Normalizovaný"/>
    <w:rsid w:val="000F420A"/>
    <w:pPr>
      <w:spacing w:after="120"/>
      <w:jc w:val="both"/>
    </w:pPr>
    <w:rPr>
      <w:sz w:val="24"/>
    </w:rPr>
  </w:style>
  <w:style w:type="character" w:customStyle="1" w:styleId="ZkladntextChar">
    <w:name w:val="Základní text Char"/>
    <w:aliases w:val="termo Char,Základní text Char Char Char,Základní text Char Char Char Char Char,Základní text Char Char Char Char Char Char Char,Základní text Char Char Cha Char,Základní text Char Char Char Char Char Char Char Char Char Char"/>
    <w:link w:val="Zkladntext"/>
    <w:uiPriority w:val="99"/>
    <w:locked/>
    <w:rsid w:val="00372CF1"/>
    <w:rPr>
      <w:sz w:val="24"/>
      <w:szCs w:val="24"/>
      <w:lang w:val="cs-CZ" w:eastAsia="cs-CZ" w:bidi="ar-SA"/>
    </w:rPr>
  </w:style>
  <w:style w:type="paragraph" w:customStyle="1" w:styleId="StylTunPed12b">
    <w:name w:val="Styl Tučné Před:  12 b."/>
    <w:basedOn w:val="Normln"/>
    <w:rsid w:val="00F9151E"/>
    <w:pPr>
      <w:autoSpaceDE w:val="0"/>
      <w:autoSpaceDN w:val="0"/>
      <w:spacing w:before="240" w:line="300" w:lineRule="atLeast"/>
      <w:jc w:val="both"/>
    </w:pPr>
    <w:rPr>
      <w:b/>
      <w:bCs/>
      <w:sz w:val="22"/>
      <w:szCs w:val="20"/>
    </w:rPr>
  </w:style>
  <w:style w:type="paragraph" w:customStyle="1" w:styleId="NormlnBlok">
    <w:name w:val="Normální+Blok"/>
    <w:basedOn w:val="Normln"/>
    <w:rsid w:val="005A38CC"/>
    <w:pPr>
      <w:jc w:val="both"/>
    </w:pPr>
    <w:rPr>
      <w:szCs w:val="20"/>
    </w:rPr>
  </w:style>
  <w:style w:type="character" w:customStyle="1" w:styleId="TitulekChar">
    <w:name w:val="Titulek Char"/>
    <w:aliases w:val="Titulek-Příloha tab Char,Titulek (nadpis tabulek) Char,Titulek OBR Char,Tab. Char,obrazek Char, Char Char Char Char Char Char Char Char Char Char Char Char Char Char Char Char Char Char Char Char Char Char Char Char Char Char Char Char Char"/>
    <w:link w:val="Titulek"/>
    <w:uiPriority w:val="99"/>
    <w:rsid w:val="005A38CC"/>
    <w:rPr>
      <w:rFonts w:ascii="Arial" w:hAnsi="Arial"/>
      <w:b/>
      <w:i/>
    </w:rPr>
  </w:style>
  <w:style w:type="paragraph" w:customStyle="1" w:styleId="Import6">
    <w:name w:val="Import 6"/>
    <w:basedOn w:val="Normln"/>
    <w:rsid w:val="005A38C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szCs w:val="20"/>
    </w:rPr>
  </w:style>
  <w:style w:type="paragraph" w:customStyle="1" w:styleId="Default">
    <w:name w:val="Default"/>
    <w:rsid w:val="005A38CC"/>
    <w:pPr>
      <w:autoSpaceDE w:val="0"/>
      <w:autoSpaceDN w:val="0"/>
      <w:adjustRightInd w:val="0"/>
    </w:pPr>
    <w:rPr>
      <w:rFonts w:ascii="Arial" w:hAnsi="Arial" w:cs="Arial"/>
      <w:color w:val="000000"/>
      <w:sz w:val="24"/>
      <w:szCs w:val="24"/>
    </w:rPr>
  </w:style>
  <w:style w:type="paragraph" w:customStyle="1" w:styleId="-odstavec1">
    <w:name w:val="-odstavec 1"/>
    <w:basedOn w:val="Normln"/>
    <w:rsid w:val="005A38CC"/>
    <w:pPr>
      <w:spacing w:before="120"/>
      <w:ind w:firstLine="567"/>
      <w:jc w:val="both"/>
    </w:pPr>
    <w:rPr>
      <w:szCs w:val="20"/>
    </w:rPr>
  </w:style>
  <w:style w:type="paragraph" w:customStyle="1" w:styleId="Normlnprvn">
    <w:name w:val="Normální_první"/>
    <w:basedOn w:val="Normln"/>
    <w:rsid w:val="00975A29"/>
    <w:pPr>
      <w:spacing w:before="120"/>
    </w:pPr>
    <w:rPr>
      <w:szCs w:val="20"/>
    </w:rPr>
  </w:style>
  <w:style w:type="paragraph" w:styleId="Odstavecseseznamem">
    <w:name w:val="List Paragraph"/>
    <w:basedOn w:val="Normln"/>
    <w:uiPriority w:val="34"/>
    <w:qFormat/>
    <w:rsid w:val="00424897"/>
    <w:pPr>
      <w:ind w:left="720"/>
      <w:contextualSpacing/>
    </w:pPr>
  </w:style>
  <w:style w:type="character" w:styleId="Sledovanodkaz">
    <w:name w:val="FollowedHyperlink"/>
    <w:uiPriority w:val="99"/>
    <w:rsid w:val="00501B52"/>
    <w:rPr>
      <w:color w:val="800080"/>
      <w:u w:val="single"/>
    </w:rPr>
  </w:style>
  <w:style w:type="paragraph" w:styleId="Prosttext">
    <w:name w:val="Plain Text"/>
    <w:basedOn w:val="Normln"/>
    <w:link w:val="ProsttextChar"/>
    <w:rsid w:val="00FC2F05"/>
    <w:rPr>
      <w:rFonts w:ascii="Courier New" w:hAnsi="Courier New"/>
      <w:sz w:val="20"/>
      <w:szCs w:val="20"/>
    </w:rPr>
  </w:style>
  <w:style w:type="character" w:customStyle="1" w:styleId="ProsttextChar">
    <w:name w:val="Prostý text Char"/>
    <w:link w:val="Prosttext"/>
    <w:rsid w:val="00FC2F05"/>
    <w:rPr>
      <w:rFonts w:ascii="Courier New" w:hAnsi="Courier New"/>
    </w:rPr>
  </w:style>
  <w:style w:type="paragraph" w:customStyle="1" w:styleId="slovanodrka">
    <w:name w:val="Číslovaná odrážka"/>
    <w:basedOn w:val="Normln"/>
    <w:next w:val="Normln"/>
    <w:rsid w:val="00FC2F05"/>
    <w:pPr>
      <w:numPr>
        <w:numId w:val="7"/>
      </w:numPr>
      <w:spacing w:after="60"/>
      <w:jc w:val="both"/>
    </w:pPr>
    <w:rPr>
      <w:szCs w:val="20"/>
    </w:rPr>
  </w:style>
  <w:style w:type="character" w:customStyle="1" w:styleId="contact">
    <w:name w:val="contact"/>
    <w:basedOn w:val="Standardnpsmoodstavce"/>
    <w:rsid w:val="0029062E"/>
  </w:style>
  <w:style w:type="character" w:customStyle="1" w:styleId="ZhlavChar">
    <w:name w:val="Záhlaví Char"/>
    <w:link w:val="Zhlav"/>
    <w:uiPriority w:val="99"/>
    <w:rsid w:val="00BC0708"/>
    <w:rPr>
      <w:sz w:val="24"/>
      <w:szCs w:val="24"/>
    </w:rPr>
  </w:style>
  <w:style w:type="paragraph" w:customStyle="1" w:styleId="BodyText1">
    <w:name w:val="Body Text1"/>
    <w:rsid w:val="00CB0245"/>
    <w:rPr>
      <w:rFonts w:ascii="CG Times" w:hAnsi="CG Times" w:cs="CG Times"/>
      <w:color w:val="000000"/>
      <w:sz w:val="24"/>
      <w:szCs w:val="24"/>
      <w:lang w:val="en-US"/>
    </w:rPr>
  </w:style>
  <w:style w:type="paragraph" w:customStyle="1" w:styleId="Normln1">
    <w:name w:val="Normální1"/>
    <w:basedOn w:val="Normln"/>
    <w:rsid w:val="00A66D02"/>
    <w:pPr>
      <w:widowControl w:val="0"/>
      <w:overflowPunct w:val="0"/>
      <w:autoSpaceDE w:val="0"/>
      <w:autoSpaceDN w:val="0"/>
      <w:adjustRightInd w:val="0"/>
      <w:ind w:firstLine="709"/>
      <w:jc w:val="both"/>
      <w:textAlignment w:val="baseline"/>
    </w:pPr>
    <w:rPr>
      <w:rFonts w:eastAsia="PMingLiU"/>
    </w:rPr>
  </w:style>
  <w:style w:type="paragraph" w:customStyle="1" w:styleId="Zakladnmtext">
    <w:name w:val="Z&lt;/a&gt;kladn&lt;/m&gt; text"/>
    <w:rsid w:val="00F6374D"/>
    <w:rPr>
      <w:color w:val="000000"/>
      <w:sz w:val="24"/>
      <w:szCs w:val="24"/>
      <w:lang w:val="en-US"/>
    </w:rPr>
  </w:style>
  <w:style w:type="paragraph" w:styleId="Textpoznpodarou">
    <w:name w:val="footnote text"/>
    <w:basedOn w:val="Normln"/>
    <w:link w:val="TextpoznpodarouChar"/>
    <w:rsid w:val="00450D90"/>
    <w:rPr>
      <w:sz w:val="20"/>
      <w:szCs w:val="20"/>
    </w:rPr>
  </w:style>
  <w:style w:type="character" w:customStyle="1" w:styleId="TextpoznpodarouChar">
    <w:name w:val="Text pozn. pod čarou Char"/>
    <w:basedOn w:val="Standardnpsmoodstavce"/>
    <w:link w:val="Textpoznpodarou"/>
    <w:rsid w:val="00450D90"/>
  </w:style>
  <w:style w:type="paragraph" w:customStyle="1" w:styleId="Paragraf">
    <w:name w:val="Paragraf"/>
    <w:basedOn w:val="Normln"/>
    <w:next w:val="Normln"/>
    <w:rsid w:val="0036219B"/>
    <w:pPr>
      <w:spacing w:before="240"/>
      <w:jc w:val="center"/>
      <w:outlineLvl w:val="5"/>
    </w:pPr>
    <w:rPr>
      <w:szCs w:val="20"/>
    </w:rPr>
  </w:style>
  <w:style w:type="paragraph" w:customStyle="1" w:styleId="NormlnNormln1">
    <w:name w:val="Normální.Normální1"/>
    <w:link w:val="NormlnNormln1Char"/>
    <w:rsid w:val="00C62339"/>
    <w:pPr>
      <w:spacing w:before="120" w:after="60"/>
      <w:jc w:val="both"/>
    </w:pPr>
    <w:rPr>
      <w:sz w:val="24"/>
    </w:rPr>
  </w:style>
  <w:style w:type="character" w:customStyle="1" w:styleId="NormlnNormln1Char">
    <w:name w:val="Normální.Normální1 Char"/>
    <w:link w:val="NormlnNormln1"/>
    <w:rsid w:val="00C62339"/>
    <w:rPr>
      <w:sz w:val="24"/>
    </w:rPr>
  </w:style>
  <w:style w:type="character" w:customStyle="1" w:styleId="Zkladntext1">
    <w:name w:val="Základní text 1"/>
    <w:rsid w:val="00D76C9B"/>
    <w:rPr>
      <w:rFonts w:ascii="Arial" w:hAnsi="Arial"/>
      <w:color w:val="000000"/>
      <w:sz w:val="20"/>
      <w:lang w:val="cs-CZ" w:eastAsia="cs-CZ" w:bidi="ar-SA"/>
    </w:rPr>
  </w:style>
  <w:style w:type="paragraph" w:customStyle="1" w:styleId="zprava-n">
    <w:name w:val="zprava-n"/>
    <w:basedOn w:val="Zkladntext"/>
    <w:link w:val="zprava-nChar"/>
    <w:autoRedefine/>
    <w:qFormat/>
    <w:rsid w:val="00F64C8E"/>
    <w:pPr>
      <w:overflowPunct w:val="0"/>
      <w:autoSpaceDE w:val="0"/>
      <w:autoSpaceDN w:val="0"/>
      <w:adjustRightInd w:val="0"/>
      <w:textAlignment w:val="baseline"/>
    </w:pPr>
    <w:rPr>
      <w:bCs/>
      <w:iCs/>
      <w:snapToGrid w:val="0"/>
      <w:lang w:eastAsia="ar-SA"/>
    </w:rPr>
  </w:style>
  <w:style w:type="character" w:customStyle="1" w:styleId="zprava-nChar">
    <w:name w:val="zprava-n Char"/>
    <w:basedOn w:val="Standardnpsmoodstavce"/>
    <w:link w:val="zprava-n"/>
    <w:rsid w:val="00F64C8E"/>
    <w:rPr>
      <w:bCs/>
      <w:iCs/>
      <w:snapToGrid w:val="0"/>
      <w:sz w:val="24"/>
      <w:szCs w:val="24"/>
      <w:lang w:eastAsia="ar-SA"/>
    </w:rPr>
  </w:style>
  <w:style w:type="character" w:customStyle="1" w:styleId="Poznmka">
    <w:name w:val="Poznámka"/>
    <w:basedOn w:val="Standardnpsmoodstavce"/>
    <w:rsid w:val="0079629D"/>
    <w:rPr>
      <w:rFonts w:asciiTheme="minorHAnsi" w:hAnsiTheme="minorHAnsi"/>
      <w:i/>
      <w:iCs/>
      <w:sz w:val="16"/>
    </w:rPr>
  </w:style>
  <w:style w:type="paragraph" w:customStyle="1" w:styleId="Vrazncitt1">
    <w:name w:val="Výrazný citát1"/>
    <w:basedOn w:val="Normln"/>
    <w:next w:val="Normln"/>
    <w:link w:val="IntenseQuoteChar"/>
    <w:uiPriority w:val="30"/>
    <w:qFormat/>
    <w:rsid w:val="00DC7683"/>
    <w:pPr>
      <w:pBdr>
        <w:bottom w:val="single" w:sz="4" w:space="4" w:color="4F81BD"/>
      </w:pBdr>
      <w:spacing w:before="200" w:after="280" w:line="276" w:lineRule="auto"/>
      <w:ind w:left="936" w:right="936"/>
    </w:pPr>
    <w:rPr>
      <w:rFonts w:ascii="Calibri" w:eastAsia="Calibri" w:hAnsi="Calibri"/>
      <w:b/>
      <w:bCs/>
      <w:i/>
      <w:iCs/>
      <w:color w:val="4F81BD"/>
      <w:sz w:val="20"/>
      <w:szCs w:val="20"/>
      <w:lang w:val="x-none" w:eastAsia="x-none"/>
    </w:rPr>
  </w:style>
  <w:style w:type="character" w:customStyle="1" w:styleId="IntenseQuoteChar">
    <w:name w:val="Intense Quote Char"/>
    <w:link w:val="Vrazncitt1"/>
    <w:uiPriority w:val="30"/>
    <w:rsid w:val="00DC7683"/>
    <w:rPr>
      <w:rFonts w:ascii="Calibri" w:eastAsia="Calibri" w:hAnsi="Calibri"/>
      <w:b/>
      <w:bCs/>
      <w:i/>
      <w:iCs/>
      <w:color w:val="4F81BD"/>
      <w:lang w:val="x-none" w:eastAsia="x-none"/>
    </w:rPr>
  </w:style>
  <w:style w:type="character" w:customStyle="1" w:styleId="Zdraznnintenzivn1">
    <w:name w:val="Zdůraznění – intenzivní1"/>
    <w:uiPriority w:val="21"/>
    <w:qFormat/>
    <w:rsid w:val="00DC7683"/>
    <w:rPr>
      <w:b/>
      <w:bCs/>
      <w:i/>
      <w:iCs/>
      <w:color w:val="4F81BD"/>
    </w:rPr>
  </w:style>
  <w:style w:type="paragraph" w:styleId="Bezmezer">
    <w:name w:val="No Spacing"/>
    <w:link w:val="BezmezerChar"/>
    <w:uiPriority w:val="1"/>
    <w:qFormat/>
    <w:rsid w:val="00DC7683"/>
    <w:rPr>
      <w:rFonts w:ascii="Calibri" w:eastAsia="Calibri" w:hAnsi="Calibri"/>
      <w:sz w:val="22"/>
      <w:szCs w:val="22"/>
      <w:lang w:eastAsia="en-US"/>
    </w:rPr>
  </w:style>
  <w:style w:type="paragraph" w:customStyle="1" w:styleId="ASMV">
    <w:name w:val="AS_MV"/>
    <w:basedOn w:val="Normln"/>
    <w:link w:val="ASMVChar1"/>
    <w:uiPriority w:val="99"/>
    <w:qFormat/>
    <w:rsid w:val="008349B2"/>
    <w:pPr>
      <w:spacing w:before="120" w:line="260" w:lineRule="atLeast"/>
      <w:jc w:val="both"/>
    </w:pPr>
    <w:rPr>
      <w:rFonts w:ascii="Arial" w:hAnsi="Arial"/>
      <w:sz w:val="20"/>
      <w:szCs w:val="20"/>
      <w:lang w:eastAsia="ko-KR"/>
    </w:rPr>
  </w:style>
  <w:style w:type="character" w:customStyle="1" w:styleId="ASMVChar1">
    <w:name w:val="AS_MV Char1"/>
    <w:link w:val="ASMV"/>
    <w:rsid w:val="008349B2"/>
    <w:rPr>
      <w:rFonts w:ascii="Arial" w:hAnsi="Arial"/>
      <w:lang w:eastAsia="ko-KR"/>
    </w:rPr>
  </w:style>
  <w:style w:type="character" w:customStyle="1" w:styleId="Document6a">
    <w:name w:val="Document 6a"/>
    <w:rsid w:val="005F3D60"/>
    <w:rPr>
      <w:rFonts w:cs="Times New Roman"/>
    </w:rPr>
  </w:style>
  <w:style w:type="paragraph" w:customStyle="1" w:styleId="TitulekTAB">
    <w:name w:val="Titulek TAB"/>
    <w:basedOn w:val="Titulek"/>
    <w:rsid w:val="00AB57F5"/>
    <w:pPr>
      <w:numPr>
        <w:numId w:val="12"/>
      </w:numPr>
      <w:spacing w:before="120"/>
    </w:pPr>
    <w:rPr>
      <w:b w:val="0"/>
      <w:i w:val="0"/>
      <w:lang w:val="cs-CZ" w:eastAsia="cs-CZ"/>
    </w:rPr>
  </w:style>
  <w:style w:type="character" w:customStyle="1" w:styleId="ASMVChar">
    <w:name w:val="AS_MV Char"/>
    <w:uiPriority w:val="99"/>
    <w:rsid w:val="00E771BA"/>
    <w:rPr>
      <w:rFonts w:ascii="Arial" w:hAnsi="Arial"/>
      <w:lang w:val="cs-CZ" w:eastAsia="cs-CZ"/>
    </w:rPr>
  </w:style>
  <w:style w:type="character" w:customStyle="1" w:styleId="Nadpis1Char">
    <w:name w:val="Nadpis 1 Char"/>
    <w:link w:val="Nadpis1"/>
    <w:uiPriority w:val="9"/>
    <w:rsid w:val="00986E18"/>
    <w:rPr>
      <w:b/>
      <w:bCs/>
      <w:caps/>
      <w:sz w:val="24"/>
      <w:szCs w:val="24"/>
    </w:rPr>
  </w:style>
  <w:style w:type="paragraph" w:customStyle="1" w:styleId="font5">
    <w:name w:val="font5"/>
    <w:basedOn w:val="Normln"/>
    <w:rsid w:val="00BD52AF"/>
    <w:pPr>
      <w:spacing w:before="100" w:beforeAutospacing="1" w:after="100" w:afterAutospacing="1"/>
    </w:pPr>
    <w:rPr>
      <w:rFonts w:ascii="Calibri" w:hAnsi="Calibri"/>
      <w:b/>
      <w:bCs/>
      <w:color w:val="000000"/>
      <w:sz w:val="22"/>
      <w:szCs w:val="22"/>
    </w:rPr>
  </w:style>
  <w:style w:type="paragraph" w:customStyle="1" w:styleId="xl65">
    <w:name w:val="xl65"/>
    <w:basedOn w:val="Normln"/>
    <w:rsid w:val="00BD52AF"/>
    <w:pPr>
      <w:spacing w:before="100" w:beforeAutospacing="1" w:after="100" w:afterAutospacing="1"/>
      <w:jc w:val="center"/>
    </w:pPr>
  </w:style>
  <w:style w:type="paragraph" w:customStyle="1" w:styleId="xl66">
    <w:name w:val="xl66"/>
    <w:basedOn w:val="Normln"/>
    <w:rsid w:val="00BD52AF"/>
    <w:pPr>
      <w:spacing w:before="100" w:beforeAutospacing="1" w:after="100" w:afterAutospacing="1"/>
      <w:jc w:val="center"/>
    </w:pPr>
  </w:style>
  <w:style w:type="paragraph" w:customStyle="1" w:styleId="xl68">
    <w:name w:val="xl68"/>
    <w:basedOn w:val="Normln"/>
    <w:rsid w:val="00BD52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ln"/>
    <w:rsid w:val="00BD52AF"/>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Normln"/>
    <w:rsid w:val="00BD52AF"/>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1">
    <w:name w:val="xl71"/>
    <w:basedOn w:val="Normln"/>
    <w:rsid w:val="00BD52AF"/>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72">
    <w:name w:val="xl72"/>
    <w:basedOn w:val="Normln"/>
    <w:rsid w:val="00BD52AF"/>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3">
    <w:name w:val="xl73"/>
    <w:basedOn w:val="Normln"/>
    <w:rsid w:val="00BD52AF"/>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74">
    <w:name w:val="xl74"/>
    <w:basedOn w:val="Normln"/>
    <w:rsid w:val="00BD52AF"/>
    <w:pPr>
      <w:spacing w:before="100" w:beforeAutospacing="1" w:after="100" w:afterAutospacing="1"/>
    </w:pPr>
    <w:rPr>
      <w:b/>
      <w:bCs/>
    </w:rPr>
  </w:style>
  <w:style w:type="paragraph" w:customStyle="1" w:styleId="xl75">
    <w:name w:val="xl75"/>
    <w:basedOn w:val="Normln"/>
    <w:rsid w:val="00BD52AF"/>
    <w:pPr>
      <w:spacing w:before="100" w:beforeAutospacing="1" w:after="100" w:afterAutospacing="1"/>
      <w:jc w:val="center"/>
    </w:pPr>
    <w:rPr>
      <w:b/>
      <w:bCs/>
    </w:rPr>
  </w:style>
  <w:style w:type="paragraph" w:customStyle="1" w:styleId="xl76">
    <w:name w:val="xl76"/>
    <w:basedOn w:val="Normln"/>
    <w:rsid w:val="00BD52AF"/>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ln"/>
    <w:rsid w:val="00BD52AF"/>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Normln"/>
    <w:rsid w:val="00BD52AF"/>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79">
    <w:name w:val="xl79"/>
    <w:basedOn w:val="Normln"/>
    <w:rsid w:val="00BD52A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0">
    <w:name w:val="xl80"/>
    <w:basedOn w:val="Normln"/>
    <w:rsid w:val="00BD52A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
    <w:name w:val="xl81"/>
    <w:basedOn w:val="Normln"/>
    <w:rsid w:val="00BD52AF"/>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ln"/>
    <w:rsid w:val="00BD52AF"/>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pPr>
  </w:style>
  <w:style w:type="paragraph" w:customStyle="1" w:styleId="xl84">
    <w:name w:val="xl84"/>
    <w:basedOn w:val="Normln"/>
    <w:rsid w:val="00BD52AF"/>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style>
  <w:style w:type="paragraph" w:customStyle="1" w:styleId="xl85">
    <w:name w:val="xl85"/>
    <w:basedOn w:val="Normln"/>
    <w:rsid w:val="00BD52AF"/>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style>
  <w:style w:type="paragraph" w:customStyle="1" w:styleId="xl86">
    <w:name w:val="xl86"/>
    <w:basedOn w:val="Normln"/>
    <w:rsid w:val="00BD52AF"/>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87">
    <w:name w:val="xl87"/>
    <w:basedOn w:val="Normln"/>
    <w:rsid w:val="00BD52A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ln"/>
    <w:rsid w:val="00BD52AF"/>
    <w:pPr>
      <w:pBdr>
        <w:top w:val="single" w:sz="4" w:space="0" w:color="auto"/>
        <w:left w:val="single" w:sz="4" w:space="0" w:color="auto"/>
        <w:right w:val="single" w:sz="8" w:space="0" w:color="auto"/>
      </w:pBdr>
      <w:spacing w:before="100" w:beforeAutospacing="1" w:after="100" w:afterAutospacing="1"/>
      <w:jc w:val="center"/>
    </w:pPr>
    <w:rPr>
      <w:b/>
      <w:bCs/>
    </w:rPr>
  </w:style>
  <w:style w:type="paragraph" w:customStyle="1" w:styleId="xl89">
    <w:name w:val="xl89"/>
    <w:basedOn w:val="Normln"/>
    <w:rsid w:val="00BD52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0">
    <w:name w:val="xl90"/>
    <w:basedOn w:val="Normln"/>
    <w:rsid w:val="00BD52A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1">
    <w:name w:val="xl91"/>
    <w:basedOn w:val="Normln"/>
    <w:rsid w:val="00BD52A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style>
  <w:style w:type="paragraph" w:customStyle="1" w:styleId="xl92">
    <w:name w:val="xl92"/>
    <w:basedOn w:val="Normln"/>
    <w:rsid w:val="00BD52AF"/>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3">
    <w:name w:val="xl93"/>
    <w:basedOn w:val="Normln"/>
    <w:rsid w:val="00BD52A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4">
    <w:name w:val="xl94"/>
    <w:basedOn w:val="Normln"/>
    <w:rsid w:val="00BD52A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95">
    <w:name w:val="xl95"/>
    <w:basedOn w:val="Normln"/>
    <w:rsid w:val="00BD52AF"/>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96">
    <w:name w:val="xl96"/>
    <w:basedOn w:val="Normln"/>
    <w:rsid w:val="00BD52AF"/>
    <w:pPr>
      <w:spacing w:before="100" w:beforeAutospacing="1" w:after="100" w:afterAutospacing="1"/>
      <w:textAlignment w:val="center"/>
    </w:pPr>
  </w:style>
  <w:style w:type="paragraph" w:customStyle="1" w:styleId="xl97">
    <w:name w:val="xl97"/>
    <w:basedOn w:val="Normln"/>
    <w:rsid w:val="00BD52AF"/>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98">
    <w:name w:val="xl98"/>
    <w:basedOn w:val="Normln"/>
    <w:rsid w:val="00BD52AF"/>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99">
    <w:name w:val="xl99"/>
    <w:basedOn w:val="Normln"/>
    <w:rsid w:val="00BD52AF"/>
    <w:pPr>
      <w:pBdr>
        <w:top w:val="single" w:sz="4" w:space="0" w:color="auto"/>
        <w:left w:val="single" w:sz="8" w:space="0" w:color="auto"/>
        <w:bottom w:val="single" w:sz="8" w:space="0" w:color="auto"/>
      </w:pBdr>
      <w:spacing w:before="100" w:beforeAutospacing="1" w:after="100" w:afterAutospacing="1"/>
      <w:textAlignment w:val="center"/>
    </w:pPr>
  </w:style>
  <w:style w:type="paragraph" w:customStyle="1" w:styleId="xl100">
    <w:name w:val="xl100"/>
    <w:basedOn w:val="Normln"/>
    <w:rsid w:val="00BD52A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01">
    <w:name w:val="xl101"/>
    <w:basedOn w:val="Normln"/>
    <w:rsid w:val="00BD52AF"/>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02">
    <w:name w:val="xl102"/>
    <w:basedOn w:val="Normln"/>
    <w:rsid w:val="00BD52A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3">
    <w:name w:val="xl103"/>
    <w:basedOn w:val="Normln"/>
    <w:rsid w:val="00BD52AF"/>
    <w:pPr>
      <w:pBdr>
        <w:top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ln"/>
    <w:rsid w:val="00BD52AF"/>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ln"/>
    <w:rsid w:val="00BD52A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Normln"/>
    <w:rsid w:val="00BD52A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ln"/>
    <w:rsid w:val="00BD52AF"/>
    <w:pPr>
      <w:pBdr>
        <w:top w:val="single" w:sz="8" w:space="0" w:color="auto"/>
        <w:right w:val="single" w:sz="8" w:space="0" w:color="auto"/>
      </w:pBdr>
      <w:spacing w:before="100" w:beforeAutospacing="1" w:after="100" w:afterAutospacing="1"/>
      <w:jc w:val="center"/>
    </w:pPr>
    <w:rPr>
      <w:b/>
      <w:bCs/>
    </w:rPr>
  </w:style>
  <w:style w:type="paragraph" w:customStyle="1" w:styleId="xl108">
    <w:name w:val="xl108"/>
    <w:basedOn w:val="Normln"/>
    <w:rsid w:val="00BD52AF"/>
    <w:pPr>
      <w:pBdr>
        <w:right w:val="single" w:sz="8" w:space="0" w:color="auto"/>
      </w:pBdr>
      <w:spacing w:before="100" w:beforeAutospacing="1" w:after="100" w:afterAutospacing="1"/>
      <w:jc w:val="center"/>
    </w:pPr>
    <w:rPr>
      <w:b/>
      <w:bCs/>
    </w:rPr>
  </w:style>
  <w:style w:type="paragraph" w:customStyle="1" w:styleId="xl109">
    <w:name w:val="xl109"/>
    <w:basedOn w:val="Normln"/>
    <w:rsid w:val="00BD52AF"/>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0">
    <w:name w:val="xl110"/>
    <w:basedOn w:val="Normln"/>
    <w:rsid w:val="00BD52AF"/>
    <w:pPr>
      <w:pBdr>
        <w:left w:val="single" w:sz="8" w:space="0" w:color="auto"/>
        <w:right w:val="single" w:sz="8" w:space="0" w:color="auto"/>
      </w:pBdr>
      <w:spacing w:before="100" w:beforeAutospacing="1" w:after="100" w:afterAutospacing="1"/>
      <w:jc w:val="center"/>
    </w:pPr>
    <w:rPr>
      <w:b/>
      <w:bCs/>
    </w:rPr>
  </w:style>
  <w:style w:type="paragraph" w:customStyle="1" w:styleId="xl111">
    <w:name w:val="xl111"/>
    <w:basedOn w:val="Normln"/>
    <w:rsid w:val="00BD52A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2">
    <w:name w:val="xl112"/>
    <w:basedOn w:val="Normln"/>
    <w:rsid w:val="00BD52A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3">
    <w:name w:val="xl113"/>
    <w:basedOn w:val="Normln"/>
    <w:rsid w:val="00BD52AF"/>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Normln"/>
    <w:rsid w:val="00BD52AF"/>
    <w:pPr>
      <w:pBdr>
        <w:top w:val="single" w:sz="8" w:space="0" w:color="auto"/>
      </w:pBdr>
      <w:spacing w:before="100" w:beforeAutospacing="1" w:after="100" w:afterAutospacing="1"/>
      <w:jc w:val="center"/>
    </w:pPr>
  </w:style>
  <w:style w:type="paragraph" w:customStyle="1" w:styleId="xl115">
    <w:name w:val="xl115"/>
    <w:basedOn w:val="Normln"/>
    <w:rsid w:val="00BD52AF"/>
    <w:pPr>
      <w:pBdr>
        <w:bottom w:val="single" w:sz="8" w:space="0" w:color="auto"/>
      </w:pBdr>
      <w:spacing w:before="100" w:beforeAutospacing="1" w:after="100" w:afterAutospacing="1"/>
      <w:jc w:val="center"/>
    </w:pPr>
  </w:style>
  <w:style w:type="paragraph" w:customStyle="1" w:styleId="xl116">
    <w:name w:val="xl116"/>
    <w:basedOn w:val="Normln"/>
    <w:rsid w:val="00BD52A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17">
    <w:name w:val="xl117"/>
    <w:basedOn w:val="Normln"/>
    <w:rsid w:val="00BD52A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18">
    <w:name w:val="xl118"/>
    <w:basedOn w:val="Normln"/>
    <w:rsid w:val="00BD52AF"/>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style>
  <w:style w:type="paragraph" w:customStyle="1" w:styleId="xl119">
    <w:name w:val="xl119"/>
    <w:basedOn w:val="Normln"/>
    <w:rsid w:val="00BD52A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0">
    <w:name w:val="xl120"/>
    <w:basedOn w:val="Normln"/>
    <w:rsid w:val="00BD52A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21">
    <w:name w:val="xl121"/>
    <w:basedOn w:val="Normln"/>
    <w:rsid w:val="00BD52AF"/>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Normln"/>
    <w:rsid w:val="00BD52AF"/>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Odstavec1">
    <w:name w:val="Odstavec1"/>
    <w:basedOn w:val="Normln"/>
    <w:rsid w:val="00D6323A"/>
    <w:pPr>
      <w:widowControl w:val="0"/>
      <w:spacing w:before="120" w:line="360" w:lineRule="auto"/>
      <w:ind w:left="851"/>
      <w:jc w:val="both"/>
    </w:pPr>
    <w:rPr>
      <w:rFonts w:ascii="Arial" w:hAnsi="Arial" w:cs="Kartika"/>
      <w:snapToGrid w:val="0"/>
      <w:szCs w:val="26"/>
    </w:rPr>
  </w:style>
  <w:style w:type="paragraph" w:customStyle="1" w:styleId="normln0">
    <w:name w:val="normální"/>
    <w:basedOn w:val="Normln"/>
    <w:rsid w:val="00D6323A"/>
    <w:pPr>
      <w:jc w:val="both"/>
    </w:pPr>
    <w:rPr>
      <w:szCs w:val="20"/>
    </w:rPr>
  </w:style>
  <w:style w:type="character" w:customStyle="1" w:styleId="Nadpis2Char">
    <w:name w:val="Nadpis 2 Char"/>
    <w:aliases w:val="Nadpis nižší úrovnì Char,Nadpis nižší úrovni Char"/>
    <w:link w:val="Nadpis2"/>
    <w:uiPriority w:val="9"/>
    <w:rsid w:val="004E7055"/>
    <w:rPr>
      <w:b/>
      <w:bCs/>
      <w:sz w:val="24"/>
      <w:szCs w:val="24"/>
    </w:rPr>
  </w:style>
  <w:style w:type="paragraph" w:customStyle="1" w:styleId="NormlnEIA">
    <w:name w:val="Normální EIA"/>
    <w:basedOn w:val="Normln"/>
    <w:link w:val="NormlnEIAChar"/>
    <w:rsid w:val="001C4046"/>
    <w:pPr>
      <w:spacing w:before="60" w:line="300" w:lineRule="atLeast"/>
      <w:ind w:firstLine="709"/>
      <w:jc w:val="both"/>
    </w:pPr>
    <w:rPr>
      <w:rFonts w:eastAsia="PMingLiU"/>
      <w:sz w:val="22"/>
      <w:szCs w:val="20"/>
    </w:rPr>
  </w:style>
  <w:style w:type="character" w:customStyle="1" w:styleId="NormlnEIAChar">
    <w:name w:val="Normální EIA Char"/>
    <w:link w:val="NormlnEIA"/>
    <w:locked/>
    <w:rsid w:val="001C4046"/>
    <w:rPr>
      <w:rFonts w:eastAsia="PMingLiU"/>
      <w:sz w:val="22"/>
    </w:rPr>
  </w:style>
  <w:style w:type="character" w:customStyle="1" w:styleId="BezmezerChar">
    <w:name w:val="Bez mezer Char"/>
    <w:link w:val="Bezmezer"/>
    <w:uiPriority w:val="1"/>
    <w:locked/>
    <w:rsid w:val="00391D60"/>
    <w:rPr>
      <w:rFonts w:ascii="Calibri" w:eastAsia="Calibri" w:hAnsi="Calibri"/>
      <w:sz w:val="22"/>
      <w:szCs w:val="22"/>
      <w:lang w:eastAsia="en-US"/>
    </w:rPr>
  </w:style>
  <w:style w:type="paragraph" w:customStyle="1" w:styleId="Standard">
    <w:name w:val="Standard"/>
    <w:rsid w:val="00391D60"/>
    <w:pPr>
      <w:widowControl w:val="0"/>
      <w:suppressAutoHyphens/>
      <w:autoSpaceDN w:val="0"/>
      <w:textAlignment w:val="baseline"/>
    </w:pPr>
    <w:rPr>
      <w:kern w:val="3"/>
    </w:rPr>
  </w:style>
  <w:style w:type="paragraph" w:customStyle="1" w:styleId="Vrazncitt2">
    <w:name w:val="Výrazný citát2"/>
    <w:basedOn w:val="Normln"/>
    <w:next w:val="Normln"/>
    <w:uiPriority w:val="30"/>
    <w:qFormat/>
    <w:rsid w:val="00391D60"/>
    <w:pPr>
      <w:pBdr>
        <w:bottom w:val="single" w:sz="4" w:space="4" w:color="4F81BD"/>
      </w:pBdr>
      <w:spacing w:before="200" w:after="280" w:line="264" w:lineRule="auto"/>
      <w:ind w:left="936" w:right="936"/>
      <w:jc w:val="both"/>
    </w:pPr>
    <w:rPr>
      <w:rFonts w:ascii="Calibri" w:eastAsia="Calibri" w:hAnsi="Calibri"/>
      <w:b/>
      <w:bCs/>
      <w:i/>
      <w:iCs/>
      <w:color w:val="4F81BD"/>
      <w:sz w:val="20"/>
      <w:szCs w:val="20"/>
      <w:lang w:val="x-none" w:eastAsia="x-none"/>
    </w:rPr>
  </w:style>
  <w:style w:type="character" w:customStyle="1" w:styleId="ZpatChar">
    <w:name w:val="Zápatí Char"/>
    <w:basedOn w:val="Standardnpsmoodstavce"/>
    <w:link w:val="Zpat"/>
    <w:uiPriority w:val="99"/>
    <w:rsid w:val="00391D60"/>
    <w:rPr>
      <w:sz w:val="24"/>
      <w:szCs w:val="24"/>
    </w:rPr>
  </w:style>
  <w:style w:type="character" w:customStyle="1" w:styleId="Nadpis3Char">
    <w:name w:val="Nadpis 3 Char"/>
    <w:basedOn w:val="Standardnpsmoodstavce"/>
    <w:link w:val="Nadpis3"/>
    <w:rsid w:val="00391D60"/>
    <w:rPr>
      <w:b/>
      <w:bCs/>
      <w:color w:val="3366FF"/>
      <w:sz w:val="40"/>
      <w:szCs w:val="24"/>
    </w:rPr>
  </w:style>
  <w:style w:type="character" w:customStyle="1" w:styleId="Zkladntextodsazen3Char">
    <w:name w:val="Základní text odsazený 3 Char"/>
    <w:basedOn w:val="Standardnpsmoodstavce"/>
    <w:link w:val="Zkladntextodsazen3"/>
    <w:rsid w:val="00391D60"/>
    <w:rPr>
      <w:sz w:val="24"/>
      <w:szCs w:val="24"/>
    </w:rPr>
  </w:style>
  <w:style w:type="character" w:customStyle="1" w:styleId="Zkladntext3Char">
    <w:name w:val="Základní text 3 Char"/>
    <w:basedOn w:val="Standardnpsmoodstavce"/>
    <w:link w:val="Zkladntext3"/>
    <w:rsid w:val="00391D60"/>
    <w:rPr>
      <w:sz w:val="16"/>
      <w:szCs w:val="16"/>
    </w:rPr>
  </w:style>
  <w:style w:type="paragraph" w:customStyle="1" w:styleId="font6">
    <w:name w:val="font6"/>
    <w:basedOn w:val="Normln"/>
    <w:rsid w:val="00391D60"/>
    <w:pPr>
      <w:widowControl w:val="0"/>
      <w:adjustRightInd w:val="0"/>
      <w:spacing w:before="100" w:beforeAutospacing="1" w:after="100" w:afterAutospacing="1" w:line="360" w:lineRule="atLeast"/>
      <w:jc w:val="both"/>
      <w:textAlignment w:val="baseline"/>
    </w:pPr>
    <w:rPr>
      <w:rFonts w:ascii="Arial" w:hAnsi="Arial" w:cs="Arial"/>
      <w:color w:val="FF0000"/>
    </w:rPr>
  </w:style>
  <w:style w:type="character" w:customStyle="1" w:styleId="katkaCharCharChar">
    <w:name w:val="katka Char Char Char"/>
    <w:link w:val="katkaCharChar"/>
    <w:locked/>
    <w:rsid w:val="00391D60"/>
    <w:rPr>
      <w:sz w:val="24"/>
      <w:szCs w:val="24"/>
    </w:rPr>
  </w:style>
  <w:style w:type="paragraph" w:customStyle="1" w:styleId="katkaCharChar">
    <w:name w:val="katka Char Char"/>
    <w:basedOn w:val="Normln"/>
    <w:link w:val="katkaCharCharChar"/>
    <w:rsid w:val="00391D60"/>
    <w:pPr>
      <w:ind w:firstLine="708"/>
      <w:jc w:val="both"/>
    </w:pPr>
  </w:style>
  <w:style w:type="character" w:customStyle="1" w:styleId="TextbublinyChar">
    <w:name w:val="Text bubliny Char"/>
    <w:basedOn w:val="Standardnpsmoodstavce"/>
    <w:link w:val="Textbubliny"/>
    <w:uiPriority w:val="99"/>
    <w:semiHidden/>
    <w:rsid w:val="00391D60"/>
    <w:rPr>
      <w:rFonts w:ascii="Tahoma" w:hAnsi="Tahoma" w:cs="Tahoma"/>
      <w:sz w:val="16"/>
      <w:szCs w:val="16"/>
    </w:rPr>
  </w:style>
  <w:style w:type="character" w:styleId="Zdraznn">
    <w:name w:val="Emphasis"/>
    <w:basedOn w:val="Standardnpsmoodstavce"/>
    <w:uiPriority w:val="20"/>
    <w:qFormat/>
    <w:rsid w:val="00391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2792">
      <w:bodyDiv w:val="1"/>
      <w:marLeft w:val="0"/>
      <w:marRight w:val="0"/>
      <w:marTop w:val="0"/>
      <w:marBottom w:val="0"/>
      <w:divBdr>
        <w:top w:val="none" w:sz="0" w:space="0" w:color="auto"/>
        <w:left w:val="none" w:sz="0" w:space="0" w:color="auto"/>
        <w:bottom w:val="none" w:sz="0" w:space="0" w:color="auto"/>
        <w:right w:val="none" w:sz="0" w:space="0" w:color="auto"/>
      </w:divBdr>
    </w:div>
    <w:div w:id="63450813">
      <w:bodyDiv w:val="1"/>
      <w:marLeft w:val="0"/>
      <w:marRight w:val="0"/>
      <w:marTop w:val="0"/>
      <w:marBottom w:val="0"/>
      <w:divBdr>
        <w:top w:val="none" w:sz="0" w:space="0" w:color="auto"/>
        <w:left w:val="none" w:sz="0" w:space="0" w:color="auto"/>
        <w:bottom w:val="none" w:sz="0" w:space="0" w:color="auto"/>
        <w:right w:val="none" w:sz="0" w:space="0" w:color="auto"/>
      </w:divBdr>
    </w:div>
    <w:div w:id="144669597">
      <w:bodyDiv w:val="1"/>
      <w:marLeft w:val="0"/>
      <w:marRight w:val="0"/>
      <w:marTop w:val="0"/>
      <w:marBottom w:val="0"/>
      <w:divBdr>
        <w:top w:val="none" w:sz="0" w:space="0" w:color="auto"/>
        <w:left w:val="none" w:sz="0" w:space="0" w:color="auto"/>
        <w:bottom w:val="none" w:sz="0" w:space="0" w:color="auto"/>
        <w:right w:val="none" w:sz="0" w:space="0" w:color="auto"/>
      </w:divBdr>
    </w:div>
    <w:div w:id="1576212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62313180">
          <w:marLeft w:val="0"/>
          <w:marRight w:val="0"/>
          <w:marTop w:val="0"/>
          <w:marBottom w:val="0"/>
          <w:divBdr>
            <w:top w:val="none" w:sz="0" w:space="0" w:color="auto"/>
            <w:left w:val="none" w:sz="0" w:space="0" w:color="auto"/>
            <w:bottom w:val="none" w:sz="0" w:space="0" w:color="auto"/>
            <w:right w:val="none" w:sz="0" w:space="0" w:color="auto"/>
          </w:divBdr>
          <w:divsChild>
            <w:div w:id="1869636110">
              <w:marLeft w:val="0"/>
              <w:marRight w:val="0"/>
              <w:marTop w:val="0"/>
              <w:marBottom w:val="0"/>
              <w:divBdr>
                <w:top w:val="none" w:sz="0" w:space="0" w:color="auto"/>
                <w:left w:val="none" w:sz="0" w:space="0" w:color="auto"/>
                <w:bottom w:val="none" w:sz="0" w:space="0" w:color="auto"/>
                <w:right w:val="none" w:sz="0" w:space="0" w:color="auto"/>
              </w:divBdr>
              <w:divsChild>
                <w:div w:id="1465344667">
                  <w:marLeft w:val="0"/>
                  <w:marRight w:val="0"/>
                  <w:marTop w:val="0"/>
                  <w:marBottom w:val="0"/>
                  <w:divBdr>
                    <w:top w:val="single" w:sz="6" w:space="0" w:color="F2F5EB"/>
                    <w:left w:val="none" w:sz="0" w:space="0" w:color="auto"/>
                    <w:bottom w:val="none" w:sz="0" w:space="0" w:color="auto"/>
                    <w:right w:val="none" w:sz="0" w:space="0" w:color="auto"/>
                  </w:divBdr>
                  <w:divsChild>
                    <w:div w:id="903759986">
                      <w:marLeft w:val="0"/>
                      <w:marRight w:val="0"/>
                      <w:marTop w:val="0"/>
                      <w:marBottom w:val="0"/>
                      <w:divBdr>
                        <w:top w:val="none" w:sz="0" w:space="0" w:color="auto"/>
                        <w:left w:val="none" w:sz="0" w:space="0" w:color="auto"/>
                        <w:bottom w:val="none" w:sz="0" w:space="0" w:color="auto"/>
                        <w:right w:val="none" w:sz="0" w:space="0" w:color="auto"/>
                      </w:divBdr>
                      <w:divsChild>
                        <w:div w:id="231164090">
                          <w:marLeft w:val="0"/>
                          <w:marRight w:val="0"/>
                          <w:marTop w:val="0"/>
                          <w:marBottom w:val="0"/>
                          <w:divBdr>
                            <w:top w:val="none" w:sz="0" w:space="0" w:color="auto"/>
                            <w:left w:val="none" w:sz="0" w:space="0" w:color="auto"/>
                            <w:bottom w:val="none" w:sz="0" w:space="0" w:color="auto"/>
                            <w:right w:val="none" w:sz="0" w:space="0" w:color="auto"/>
                          </w:divBdr>
                          <w:divsChild>
                            <w:div w:id="2103406160">
                              <w:marLeft w:val="0"/>
                              <w:marRight w:val="0"/>
                              <w:marTop w:val="0"/>
                              <w:marBottom w:val="0"/>
                              <w:divBdr>
                                <w:top w:val="none" w:sz="0" w:space="0" w:color="auto"/>
                                <w:left w:val="none" w:sz="0" w:space="0" w:color="auto"/>
                                <w:bottom w:val="none" w:sz="0" w:space="0" w:color="auto"/>
                                <w:right w:val="none" w:sz="0" w:space="0" w:color="auto"/>
                              </w:divBdr>
                              <w:divsChild>
                                <w:div w:id="20094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625481">
      <w:bodyDiv w:val="1"/>
      <w:marLeft w:val="0"/>
      <w:marRight w:val="0"/>
      <w:marTop w:val="0"/>
      <w:marBottom w:val="0"/>
      <w:divBdr>
        <w:top w:val="none" w:sz="0" w:space="0" w:color="auto"/>
        <w:left w:val="none" w:sz="0" w:space="0" w:color="auto"/>
        <w:bottom w:val="none" w:sz="0" w:space="0" w:color="auto"/>
        <w:right w:val="none" w:sz="0" w:space="0" w:color="auto"/>
      </w:divBdr>
    </w:div>
    <w:div w:id="388267014">
      <w:bodyDiv w:val="1"/>
      <w:marLeft w:val="0"/>
      <w:marRight w:val="0"/>
      <w:marTop w:val="0"/>
      <w:marBottom w:val="0"/>
      <w:divBdr>
        <w:top w:val="none" w:sz="0" w:space="0" w:color="auto"/>
        <w:left w:val="none" w:sz="0" w:space="0" w:color="auto"/>
        <w:bottom w:val="none" w:sz="0" w:space="0" w:color="auto"/>
        <w:right w:val="none" w:sz="0" w:space="0" w:color="auto"/>
      </w:divBdr>
    </w:div>
    <w:div w:id="517622445">
      <w:bodyDiv w:val="1"/>
      <w:marLeft w:val="0"/>
      <w:marRight w:val="0"/>
      <w:marTop w:val="0"/>
      <w:marBottom w:val="0"/>
      <w:divBdr>
        <w:top w:val="none" w:sz="0" w:space="0" w:color="auto"/>
        <w:left w:val="none" w:sz="0" w:space="0" w:color="auto"/>
        <w:bottom w:val="none" w:sz="0" w:space="0" w:color="auto"/>
        <w:right w:val="none" w:sz="0" w:space="0" w:color="auto"/>
      </w:divBdr>
    </w:div>
    <w:div w:id="524562939">
      <w:bodyDiv w:val="1"/>
      <w:marLeft w:val="0"/>
      <w:marRight w:val="0"/>
      <w:marTop w:val="0"/>
      <w:marBottom w:val="0"/>
      <w:divBdr>
        <w:top w:val="none" w:sz="0" w:space="0" w:color="auto"/>
        <w:left w:val="none" w:sz="0" w:space="0" w:color="auto"/>
        <w:bottom w:val="none" w:sz="0" w:space="0" w:color="auto"/>
        <w:right w:val="none" w:sz="0" w:space="0" w:color="auto"/>
      </w:divBdr>
    </w:div>
    <w:div w:id="529298578">
      <w:bodyDiv w:val="1"/>
      <w:marLeft w:val="0"/>
      <w:marRight w:val="0"/>
      <w:marTop w:val="0"/>
      <w:marBottom w:val="0"/>
      <w:divBdr>
        <w:top w:val="none" w:sz="0" w:space="0" w:color="auto"/>
        <w:left w:val="none" w:sz="0" w:space="0" w:color="auto"/>
        <w:bottom w:val="none" w:sz="0" w:space="0" w:color="auto"/>
        <w:right w:val="none" w:sz="0" w:space="0" w:color="auto"/>
      </w:divBdr>
    </w:div>
    <w:div w:id="605192087">
      <w:bodyDiv w:val="1"/>
      <w:marLeft w:val="0"/>
      <w:marRight w:val="0"/>
      <w:marTop w:val="0"/>
      <w:marBottom w:val="0"/>
      <w:divBdr>
        <w:top w:val="none" w:sz="0" w:space="0" w:color="auto"/>
        <w:left w:val="none" w:sz="0" w:space="0" w:color="auto"/>
        <w:bottom w:val="none" w:sz="0" w:space="0" w:color="auto"/>
        <w:right w:val="none" w:sz="0" w:space="0" w:color="auto"/>
      </w:divBdr>
    </w:div>
    <w:div w:id="632097648">
      <w:bodyDiv w:val="1"/>
      <w:marLeft w:val="0"/>
      <w:marRight w:val="0"/>
      <w:marTop w:val="0"/>
      <w:marBottom w:val="0"/>
      <w:divBdr>
        <w:top w:val="none" w:sz="0" w:space="0" w:color="auto"/>
        <w:left w:val="none" w:sz="0" w:space="0" w:color="auto"/>
        <w:bottom w:val="none" w:sz="0" w:space="0" w:color="auto"/>
        <w:right w:val="none" w:sz="0" w:space="0" w:color="auto"/>
      </w:divBdr>
      <w:divsChild>
        <w:div w:id="232201402">
          <w:marLeft w:val="0"/>
          <w:marRight w:val="0"/>
          <w:marTop w:val="0"/>
          <w:marBottom w:val="0"/>
          <w:divBdr>
            <w:top w:val="none" w:sz="0" w:space="0" w:color="auto"/>
            <w:left w:val="none" w:sz="0" w:space="0" w:color="auto"/>
            <w:bottom w:val="none" w:sz="0" w:space="0" w:color="auto"/>
            <w:right w:val="none" w:sz="0" w:space="0" w:color="auto"/>
          </w:divBdr>
          <w:divsChild>
            <w:div w:id="1237521339">
              <w:marLeft w:val="0"/>
              <w:marRight w:val="0"/>
              <w:marTop w:val="0"/>
              <w:marBottom w:val="0"/>
              <w:divBdr>
                <w:top w:val="none" w:sz="0" w:space="0" w:color="auto"/>
                <w:left w:val="none" w:sz="0" w:space="0" w:color="auto"/>
                <w:bottom w:val="none" w:sz="0" w:space="0" w:color="auto"/>
                <w:right w:val="none" w:sz="0" w:space="0" w:color="auto"/>
              </w:divBdr>
              <w:divsChild>
                <w:div w:id="311759438">
                  <w:marLeft w:val="2928"/>
                  <w:marRight w:val="0"/>
                  <w:marTop w:val="720"/>
                  <w:marBottom w:val="0"/>
                  <w:divBdr>
                    <w:top w:val="none" w:sz="0" w:space="0" w:color="auto"/>
                    <w:left w:val="none" w:sz="0" w:space="0" w:color="auto"/>
                    <w:bottom w:val="none" w:sz="0" w:space="0" w:color="auto"/>
                    <w:right w:val="none" w:sz="0" w:space="0" w:color="auto"/>
                  </w:divBdr>
                  <w:divsChild>
                    <w:div w:id="1122071330">
                      <w:marLeft w:val="2928"/>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660543864">
      <w:bodyDiv w:val="1"/>
      <w:marLeft w:val="0"/>
      <w:marRight w:val="0"/>
      <w:marTop w:val="0"/>
      <w:marBottom w:val="0"/>
      <w:divBdr>
        <w:top w:val="none" w:sz="0" w:space="0" w:color="auto"/>
        <w:left w:val="none" w:sz="0" w:space="0" w:color="auto"/>
        <w:bottom w:val="none" w:sz="0" w:space="0" w:color="auto"/>
        <w:right w:val="none" w:sz="0" w:space="0" w:color="auto"/>
      </w:divBdr>
    </w:div>
    <w:div w:id="726144612">
      <w:bodyDiv w:val="1"/>
      <w:marLeft w:val="0"/>
      <w:marRight w:val="0"/>
      <w:marTop w:val="0"/>
      <w:marBottom w:val="0"/>
      <w:divBdr>
        <w:top w:val="none" w:sz="0" w:space="0" w:color="auto"/>
        <w:left w:val="none" w:sz="0" w:space="0" w:color="auto"/>
        <w:bottom w:val="none" w:sz="0" w:space="0" w:color="auto"/>
        <w:right w:val="none" w:sz="0" w:space="0" w:color="auto"/>
      </w:divBdr>
    </w:div>
    <w:div w:id="846404148">
      <w:bodyDiv w:val="1"/>
      <w:marLeft w:val="0"/>
      <w:marRight w:val="0"/>
      <w:marTop w:val="0"/>
      <w:marBottom w:val="0"/>
      <w:divBdr>
        <w:top w:val="none" w:sz="0" w:space="0" w:color="auto"/>
        <w:left w:val="none" w:sz="0" w:space="0" w:color="auto"/>
        <w:bottom w:val="none" w:sz="0" w:space="0" w:color="auto"/>
        <w:right w:val="none" w:sz="0" w:space="0" w:color="auto"/>
      </w:divBdr>
    </w:div>
    <w:div w:id="1029527590">
      <w:bodyDiv w:val="1"/>
      <w:marLeft w:val="0"/>
      <w:marRight w:val="0"/>
      <w:marTop w:val="0"/>
      <w:marBottom w:val="0"/>
      <w:divBdr>
        <w:top w:val="none" w:sz="0" w:space="0" w:color="auto"/>
        <w:left w:val="none" w:sz="0" w:space="0" w:color="auto"/>
        <w:bottom w:val="none" w:sz="0" w:space="0" w:color="auto"/>
        <w:right w:val="none" w:sz="0" w:space="0" w:color="auto"/>
      </w:divBdr>
    </w:div>
    <w:div w:id="1030451020">
      <w:bodyDiv w:val="1"/>
      <w:marLeft w:val="0"/>
      <w:marRight w:val="0"/>
      <w:marTop w:val="0"/>
      <w:marBottom w:val="0"/>
      <w:divBdr>
        <w:top w:val="none" w:sz="0" w:space="0" w:color="auto"/>
        <w:left w:val="none" w:sz="0" w:space="0" w:color="auto"/>
        <w:bottom w:val="none" w:sz="0" w:space="0" w:color="auto"/>
        <w:right w:val="none" w:sz="0" w:space="0" w:color="auto"/>
      </w:divBdr>
    </w:div>
    <w:div w:id="1042901760">
      <w:bodyDiv w:val="1"/>
      <w:marLeft w:val="0"/>
      <w:marRight w:val="0"/>
      <w:marTop w:val="0"/>
      <w:marBottom w:val="0"/>
      <w:divBdr>
        <w:top w:val="none" w:sz="0" w:space="0" w:color="auto"/>
        <w:left w:val="none" w:sz="0" w:space="0" w:color="auto"/>
        <w:bottom w:val="none" w:sz="0" w:space="0" w:color="auto"/>
        <w:right w:val="none" w:sz="0" w:space="0" w:color="auto"/>
      </w:divBdr>
    </w:div>
    <w:div w:id="1045715299">
      <w:bodyDiv w:val="1"/>
      <w:marLeft w:val="0"/>
      <w:marRight w:val="0"/>
      <w:marTop w:val="0"/>
      <w:marBottom w:val="0"/>
      <w:divBdr>
        <w:top w:val="none" w:sz="0" w:space="0" w:color="auto"/>
        <w:left w:val="none" w:sz="0" w:space="0" w:color="auto"/>
        <w:bottom w:val="none" w:sz="0" w:space="0" w:color="auto"/>
        <w:right w:val="none" w:sz="0" w:space="0" w:color="auto"/>
      </w:divBdr>
    </w:div>
    <w:div w:id="1090588623">
      <w:bodyDiv w:val="1"/>
      <w:marLeft w:val="0"/>
      <w:marRight w:val="0"/>
      <w:marTop w:val="0"/>
      <w:marBottom w:val="0"/>
      <w:divBdr>
        <w:top w:val="none" w:sz="0" w:space="0" w:color="auto"/>
        <w:left w:val="none" w:sz="0" w:space="0" w:color="auto"/>
        <w:bottom w:val="none" w:sz="0" w:space="0" w:color="auto"/>
        <w:right w:val="none" w:sz="0" w:space="0" w:color="auto"/>
      </w:divBdr>
    </w:div>
    <w:div w:id="1159537278">
      <w:bodyDiv w:val="1"/>
      <w:marLeft w:val="0"/>
      <w:marRight w:val="0"/>
      <w:marTop w:val="0"/>
      <w:marBottom w:val="0"/>
      <w:divBdr>
        <w:top w:val="none" w:sz="0" w:space="0" w:color="auto"/>
        <w:left w:val="none" w:sz="0" w:space="0" w:color="auto"/>
        <w:bottom w:val="none" w:sz="0" w:space="0" w:color="auto"/>
        <w:right w:val="none" w:sz="0" w:space="0" w:color="auto"/>
      </w:divBdr>
      <w:divsChild>
        <w:div w:id="1767774565">
          <w:marLeft w:val="0"/>
          <w:marRight w:val="0"/>
          <w:marTop w:val="0"/>
          <w:marBottom w:val="0"/>
          <w:divBdr>
            <w:top w:val="none" w:sz="0" w:space="0" w:color="auto"/>
            <w:left w:val="none" w:sz="0" w:space="0" w:color="auto"/>
            <w:bottom w:val="none" w:sz="0" w:space="0" w:color="auto"/>
            <w:right w:val="none" w:sz="0" w:space="0" w:color="auto"/>
          </w:divBdr>
          <w:divsChild>
            <w:div w:id="2117021121">
              <w:marLeft w:val="0"/>
              <w:marRight w:val="0"/>
              <w:marTop w:val="0"/>
              <w:marBottom w:val="0"/>
              <w:divBdr>
                <w:top w:val="none" w:sz="0" w:space="0" w:color="auto"/>
                <w:left w:val="none" w:sz="0" w:space="0" w:color="auto"/>
                <w:bottom w:val="none" w:sz="0" w:space="0" w:color="auto"/>
                <w:right w:val="none" w:sz="0" w:space="0" w:color="auto"/>
              </w:divBdr>
              <w:divsChild>
                <w:div w:id="1662001921">
                  <w:marLeft w:val="195"/>
                  <w:marRight w:val="195"/>
                  <w:marTop w:val="30"/>
                  <w:marBottom w:val="300"/>
                  <w:divBdr>
                    <w:top w:val="none" w:sz="0" w:space="0" w:color="auto"/>
                    <w:left w:val="none" w:sz="0" w:space="0" w:color="auto"/>
                    <w:bottom w:val="none" w:sz="0" w:space="0" w:color="auto"/>
                    <w:right w:val="none" w:sz="0" w:space="0" w:color="auto"/>
                  </w:divBdr>
                  <w:divsChild>
                    <w:div w:id="1274292079">
                      <w:marLeft w:val="0"/>
                      <w:marRight w:val="0"/>
                      <w:marTop w:val="0"/>
                      <w:marBottom w:val="0"/>
                      <w:divBdr>
                        <w:top w:val="none" w:sz="0" w:space="0" w:color="auto"/>
                        <w:left w:val="none" w:sz="0" w:space="0" w:color="auto"/>
                        <w:bottom w:val="none" w:sz="0" w:space="0" w:color="auto"/>
                        <w:right w:val="none" w:sz="0" w:space="0" w:color="auto"/>
                      </w:divBdr>
                      <w:divsChild>
                        <w:div w:id="1004825036">
                          <w:marLeft w:val="0"/>
                          <w:marRight w:val="0"/>
                          <w:marTop w:val="0"/>
                          <w:marBottom w:val="0"/>
                          <w:divBdr>
                            <w:top w:val="none" w:sz="0" w:space="0" w:color="auto"/>
                            <w:left w:val="none" w:sz="0" w:space="0" w:color="auto"/>
                            <w:bottom w:val="none" w:sz="0" w:space="0" w:color="auto"/>
                            <w:right w:val="none" w:sz="0" w:space="0" w:color="auto"/>
                          </w:divBdr>
                          <w:divsChild>
                            <w:div w:id="1190408997">
                              <w:marLeft w:val="0"/>
                              <w:marRight w:val="0"/>
                              <w:marTop w:val="0"/>
                              <w:marBottom w:val="150"/>
                              <w:divBdr>
                                <w:top w:val="none" w:sz="0" w:space="0" w:color="auto"/>
                                <w:left w:val="none" w:sz="0" w:space="0" w:color="auto"/>
                                <w:bottom w:val="none" w:sz="0" w:space="0" w:color="auto"/>
                                <w:right w:val="none" w:sz="0" w:space="0" w:color="auto"/>
                              </w:divBdr>
                              <w:divsChild>
                                <w:div w:id="1131242014">
                                  <w:marLeft w:val="0"/>
                                  <w:marRight w:val="0"/>
                                  <w:marTop w:val="0"/>
                                  <w:marBottom w:val="0"/>
                                  <w:divBdr>
                                    <w:top w:val="none" w:sz="0" w:space="0" w:color="auto"/>
                                    <w:left w:val="none" w:sz="0" w:space="0" w:color="auto"/>
                                    <w:bottom w:val="none" w:sz="0" w:space="0" w:color="auto"/>
                                    <w:right w:val="none" w:sz="0" w:space="0" w:color="auto"/>
                                  </w:divBdr>
                                  <w:divsChild>
                                    <w:div w:id="972634935">
                                      <w:marLeft w:val="0"/>
                                      <w:marRight w:val="0"/>
                                      <w:marTop w:val="0"/>
                                      <w:marBottom w:val="0"/>
                                      <w:divBdr>
                                        <w:top w:val="none" w:sz="0" w:space="0" w:color="auto"/>
                                        <w:left w:val="none" w:sz="0" w:space="0" w:color="auto"/>
                                        <w:bottom w:val="none" w:sz="0" w:space="0" w:color="auto"/>
                                        <w:right w:val="none" w:sz="0" w:space="0" w:color="auto"/>
                                      </w:divBdr>
                                      <w:divsChild>
                                        <w:div w:id="1198196097">
                                          <w:marLeft w:val="0"/>
                                          <w:marRight w:val="0"/>
                                          <w:marTop w:val="0"/>
                                          <w:marBottom w:val="0"/>
                                          <w:divBdr>
                                            <w:top w:val="none" w:sz="0" w:space="0" w:color="auto"/>
                                            <w:left w:val="none" w:sz="0" w:space="0" w:color="auto"/>
                                            <w:bottom w:val="none" w:sz="0" w:space="0" w:color="auto"/>
                                            <w:right w:val="none" w:sz="0" w:space="0" w:color="auto"/>
                                          </w:divBdr>
                                          <w:divsChild>
                                            <w:div w:id="1056928204">
                                              <w:marLeft w:val="0"/>
                                              <w:marRight w:val="0"/>
                                              <w:marTop w:val="0"/>
                                              <w:marBottom w:val="0"/>
                                              <w:divBdr>
                                                <w:top w:val="none" w:sz="0" w:space="0" w:color="auto"/>
                                                <w:left w:val="none" w:sz="0" w:space="0" w:color="auto"/>
                                                <w:bottom w:val="none" w:sz="0" w:space="0" w:color="auto"/>
                                                <w:right w:val="none" w:sz="0" w:space="0" w:color="auto"/>
                                              </w:divBdr>
                                              <w:divsChild>
                                                <w:div w:id="301615758">
                                                  <w:marLeft w:val="0"/>
                                                  <w:marRight w:val="0"/>
                                                  <w:marTop w:val="0"/>
                                                  <w:marBottom w:val="0"/>
                                                  <w:divBdr>
                                                    <w:top w:val="none" w:sz="0" w:space="0" w:color="auto"/>
                                                    <w:left w:val="none" w:sz="0" w:space="0" w:color="auto"/>
                                                    <w:bottom w:val="none" w:sz="0" w:space="0" w:color="auto"/>
                                                    <w:right w:val="none" w:sz="0" w:space="0" w:color="auto"/>
                                                  </w:divBdr>
                                                </w:div>
                                                <w:div w:id="781923452">
                                                  <w:marLeft w:val="0"/>
                                                  <w:marRight w:val="0"/>
                                                  <w:marTop w:val="0"/>
                                                  <w:marBottom w:val="0"/>
                                                  <w:divBdr>
                                                    <w:top w:val="none" w:sz="0" w:space="0" w:color="auto"/>
                                                    <w:left w:val="none" w:sz="0" w:space="0" w:color="auto"/>
                                                    <w:bottom w:val="none" w:sz="0" w:space="0" w:color="auto"/>
                                                    <w:right w:val="none" w:sz="0" w:space="0" w:color="auto"/>
                                                  </w:divBdr>
                                                </w:div>
                                                <w:div w:id="13462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771283">
      <w:bodyDiv w:val="1"/>
      <w:marLeft w:val="0"/>
      <w:marRight w:val="0"/>
      <w:marTop w:val="0"/>
      <w:marBottom w:val="0"/>
      <w:divBdr>
        <w:top w:val="none" w:sz="0" w:space="0" w:color="auto"/>
        <w:left w:val="none" w:sz="0" w:space="0" w:color="auto"/>
        <w:bottom w:val="none" w:sz="0" w:space="0" w:color="auto"/>
        <w:right w:val="none" w:sz="0" w:space="0" w:color="auto"/>
      </w:divBdr>
    </w:div>
    <w:div w:id="1222404838">
      <w:bodyDiv w:val="1"/>
      <w:marLeft w:val="0"/>
      <w:marRight w:val="0"/>
      <w:marTop w:val="0"/>
      <w:marBottom w:val="0"/>
      <w:divBdr>
        <w:top w:val="none" w:sz="0" w:space="0" w:color="auto"/>
        <w:left w:val="none" w:sz="0" w:space="0" w:color="auto"/>
        <w:bottom w:val="none" w:sz="0" w:space="0" w:color="auto"/>
        <w:right w:val="none" w:sz="0" w:space="0" w:color="auto"/>
      </w:divBdr>
    </w:div>
    <w:div w:id="1317613211">
      <w:bodyDiv w:val="1"/>
      <w:marLeft w:val="0"/>
      <w:marRight w:val="0"/>
      <w:marTop w:val="0"/>
      <w:marBottom w:val="0"/>
      <w:divBdr>
        <w:top w:val="none" w:sz="0" w:space="0" w:color="auto"/>
        <w:left w:val="none" w:sz="0" w:space="0" w:color="auto"/>
        <w:bottom w:val="none" w:sz="0" w:space="0" w:color="auto"/>
        <w:right w:val="none" w:sz="0" w:space="0" w:color="auto"/>
      </w:divBdr>
    </w:div>
    <w:div w:id="1319261482">
      <w:bodyDiv w:val="1"/>
      <w:marLeft w:val="0"/>
      <w:marRight w:val="0"/>
      <w:marTop w:val="0"/>
      <w:marBottom w:val="0"/>
      <w:divBdr>
        <w:top w:val="none" w:sz="0" w:space="0" w:color="auto"/>
        <w:left w:val="none" w:sz="0" w:space="0" w:color="auto"/>
        <w:bottom w:val="none" w:sz="0" w:space="0" w:color="auto"/>
        <w:right w:val="none" w:sz="0" w:space="0" w:color="auto"/>
      </w:divBdr>
    </w:div>
    <w:div w:id="1428961596">
      <w:bodyDiv w:val="1"/>
      <w:marLeft w:val="0"/>
      <w:marRight w:val="0"/>
      <w:marTop w:val="0"/>
      <w:marBottom w:val="0"/>
      <w:divBdr>
        <w:top w:val="none" w:sz="0" w:space="0" w:color="auto"/>
        <w:left w:val="none" w:sz="0" w:space="0" w:color="auto"/>
        <w:bottom w:val="none" w:sz="0" w:space="0" w:color="auto"/>
        <w:right w:val="none" w:sz="0" w:space="0" w:color="auto"/>
      </w:divBdr>
    </w:div>
    <w:div w:id="1459032112">
      <w:bodyDiv w:val="1"/>
      <w:marLeft w:val="0"/>
      <w:marRight w:val="0"/>
      <w:marTop w:val="0"/>
      <w:marBottom w:val="0"/>
      <w:divBdr>
        <w:top w:val="none" w:sz="0" w:space="0" w:color="auto"/>
        <w:left w:val="none" w:sz="0" w:space="0" w:color="auto"/>
        <w:bottom w:val="none" w:sz="0" w:space="0" w:color="auto"/>
        <w:right w:val="none" w:sz="0" w:space="0" w:color="auto"/>
      </w:divBdr>
    </w:div>
    <w:div w:id="1489009415">
      <w:bodyDiv w:val="1"/>
      <w:marLeft w:val="0"/>
      <w:marRight w:val="0"/>
      <w:marTop w:val="0"/>
      <w:marBottom w:val="0"/>
      <w:divBdr>
        <w:top w:val="none" w:sz="0" w:space="0" w:color="auto"/>
        <w:left w:val="none" w:sz="0" w:space="0" w:color="auto"/>
        <w:bottom w:val="none" w:sz="0" w:space="0" w:color="auto"/>
        <w:right w:val="none" w:sz="0" w:space="0" w:color="auto"/>
      </w:divBdr>
    </w:div>
    <w:div w:id="1502820192">
      <w:bodyDiv w:val="1"/>
      <w:marLeft w:val="0"/>
      <w:marRight w:val="0"/>
      <w:marTop w:val="0"/>
      <w:marBottom w:val="0"/>
      <w:divBdr>
        <w:top w:val="none" w:sz="0" w:space="0" w:color="auto"/>
        <w:left w:val="none" w:sz="0" w:space="0" w:color="auto"/>
        <w:bottom w:val="none" w:sz="0" w:space="0" w:color="auto"/>
        <w:right w:val="none" w:sz="0" w:space="0" w:color="auto"/>
      </w:divBdr>
    </w:div>
    <w:div w:id="1539392711">
      <w:bodyDiv w:val="1"/>
      <w:marLeft w:val="0"/>
      <w:marRight w:val="0"/>
      <w:marTop w:val="0"/>
      <w:marBottom w:val="0"/>
      <w:divBdr>
        <w:top w:val="none" w:sz="0" w:space="0" w:color="auto"/>
        <w:left w:val="none" w:sz="0" w:space="0" w:color="auto"/>
        <w:bottom w:val="none" w:sz="0" w:space="0" w:color="auto"/>
        <w:right w:val="none" w:sz="0" w:space="0" w:color="auto"/>
      </w:divBdr>
    </w:div>
    <w:div w:id="1582980378">
      <w:bodyDiv w:val="1"/>
      <w:marLeft w:val="0"/>
      <w:marRight w:val="0"/>
      <w:marTop w:val="0"/>
      <w:marBottom w:val="0"/>
      <w:divBdr>
        <w:top w:val="none" w:sz="0" w:space="0" w:color="auto"/>
        <w:left w:val="none" w:sz="0" w:space="0" w:color="auto"/>
        <w:bottom w:val="none" w:sz="0" w:space="0" w:color="auto"/>
        <w:right w:val="none" w:sz="0" w:space="0" w:color="auto"/>
      </w:divBdr>
    </w:div>
    <w:div w:id="1621255421">
      <w:bodyDiv w:val="1"/>
      <w:marLeft w:val="0"/>
      <w:marRight w:val="0"/>
      <w:marTop w:val="0"/>
      <w:marBottom w:val="0"/>
      <w:divBdr>
        <w:top w:val="none" w:sz="0" w:space="0" w:color="auto"/>
        <w:left w:val="none" w:sz="0" w:space="0" w:color="auto"/>
        <w:bottom w:val="none" w:sz="0" w:space="0" w:color="auto"/>
        <w:right w:val="none" w:sz="0" w:space="0" w:color="auto"/>
      </w:divBdr>
    </w:div>
    <w:div w:id="1664553491">
      <w:bodyDiv w:val="1"/>
      <w:marLeft w:val="0"/>
      <w:marRight w:val="0"/>
      <w:marTop w:val="0"/>
      <w:marBottom w:val="0"/>
      <w:divBdr>
        <w:top w:val="none" w:sz="0" w:space="0" w:color="auto"/>
        <w:left w:val="none" w:sz="0" w:space="0" w:color="auto"/>
        <w:bottom w:val="none" w:sz="0" w:space="0" w:color="auto"/>
        <w:right w:val="none" w:sz="0" w:space="0" w:color="auto"/>
      </w:divBdr>
    </w:div>
    <w:div w:id="1685324294">
      <w:bodyDiv w:val="1"/>
      <w:marLeft w:val="0"/>
      <w:marRight w:val="0"/>
      <w:marTop w:val="0"/>
      <w:marBottom w:val="0"/>
      <w:divBdr>
        <w:top w:val="none" w:sz="0" w:space="0" w:color="auto"/>
        <w:left w:val="none" w:sz="0" w:space="0" w:color="auto"/>
        <w:bottom w:val="none" w:sz="0" w:space="0" w:color="auto"/>
        <w:right w:val="none" w:sz="0" w:space="0" w:color="auto"/>
      </w:divBdr>
    </w:div>
    <w:div w:id="1778403375">
      <w:bodyDiv w:val="1"/>
      <w:marLeft w:val="0"/>
      <w:marRight w:val="0"/>
      <w:marTop w:val="0"/>
      <w:marBottom w:val="0"/>
      <w:divBdr>
        <w:top w:val="none" w:sz="0" w:space="0" w:color="auto"/>
        <w:left w:val="none" w:sz="0" w:space="0" w:color="auto"/>
        <w:bottom w:val="none" w:sz="0" w:space="0" w:color="auto"/>
        <w:right w:val="none" w:sz="0" w:space="0" w:color="auto"/>
      </w:divBdr>
    </w:div>
    <w:div w:id="1794205063">
      <w:bodyDiv w:val="1"/>
      <w:marLeft w:val="0"/>
      <w:marRight w:val="0"/>
      <w:marTop w:val="0"/>
      <w:marBottom w:val="0"/>
      <w:divBdr>
        <w:top w:val="none" w:sz="0" w:space="0" w:color="auto"/>
        <w:left w:val="none" w:sz="0" w:space="0" w:color="auto"/>
        <w:bottom w:val="none" w:sz="0" w:space="0" w:color="auto"/>
        <w:right w:val="none" w:sz="0" w:space="0" w:color="auto"/>
      </w:divBdr>
    </w:div>
    <w:div w:id="1850633275">
      <w:bodyDiv w:val="1"/>
      <w:marLeft w:val="0"/>
      <w:marRight w:val="0"/>
      <w:marTop w:val="0"/>
      <w:marBottom w:val="0"/>
      <w:divBdr>
        <w:top w:val="none" w:sz="0" w:space="0" w:color="auto"/>
        <w:left w:val="none" w:sz="0" w:space="0" w:color="auto"/>
        <w:bottom w:val="none" w:sz="0" w:space="0" w:color="auto"/>
        <w:right w:val="none" w:sz="0" w:space="0" w:color="auto"/>
      </w:divBdr>
    </w:div>
    <w:div w:id="2017729630">
      <w:bodyDiv w:val="1"/>
      <w:marLeft w:val="0"/>
      <w:marRight w:val="0"/>
      <w:marTop w:val="0"/>
      <w:marBottom w:val="0"/>
      <w:divBdr>
        <w:top w:val="none" w:sz="0" w:space="0" w:color="auto"/>
        <w:left w:val="none" w:sz="0" w:space="0" w:color="auto"/>
        <w:bottom w:val="none" w:sz="0" w:space="0" w:color="auto"/>
        <w:right w:val="none" w:sz="0" w:space="0" w:color="auto"/>
      </w:divBdr>
    </w:div>
    <w:div w:id="2048988190">
      <w:bodyDiv w:val="1"/>
      <w:marLeft w:val="0"/>
      <w:marRight w:val="0"/>
      <w:marTop w:val="0"/>
      <w:marBottom w:val="0"/>
      <w:divBdr>
        <w:top w:val="none" w:sz="0" w:space="0" w:color="auto"/>
        <w:left w:val="none" w:sz="0" w:space="0" w:color="auto"/>
        <w:bottom w:val="none" w:sz="0" w:space="0" w:color="auto"/>
        <w:right w:val="none" w:sz="0" w:space="0" w:color="auto"/>
      </w:divBdr>
    </w:div>
    <w:div w:id="20904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674D2-1812-488C-A36F-1EBE93468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6236</Words>
  <Characters>36793</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HODNOCENÍ ZDRAVOTNÍHO RIZIKA BERYLIA Z PITNÉ VODY</vt:lpstr>
    </vt:vector>
  </TitlesOfParts>
  <Company>KHS</Company>
  <LinksUpToDate>false</LinksUpToDate>
  <CharactersWithSpaces>42944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HODNOCENÍ ZDRAVOTNÍHO RIZIKA BERYLIA Z PITNÉ VODY</dc:title>
  <dc:subject/>
  <dc:creator>Zdenek Kučera</dc:creator>
  <cp:keywords/>
  <cp:lastModifiedBy>Kottová Iveta Ing.</cp:lastModifiedBy>
  <cp:revision>2</cp:revision>
  <cp:lastPrinted>2016-06-05T21:54:00Z</cp:lastPrinted>
  <dcterms:created xsi:type="dcterms:W3CDTF">2016-06-14T05:12:00Z</dcterms:created>
  <dcterms:modified xsi:type="dcterms:W3CDTF">2016-06-14T05:12:00Z</dcterms:modified>
</cp:coreProperties>
</file>